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3DF47" w14:textId="0DDF0954" w:rsidR="00782A69" w:rsidRPr="00E81856" w:rsidRDefault="00E81856" w:rsidP="00E81856">
      <w:pPr>
        <w:ind w:left="1418" w:right="474"/>
        <w:jc w:val="center"/>
        <w:rPr>
          <w:b/>
          <w:bCs/>
          <w:color w:val="FFFFFF" w:themeColor="background1"/>
          <w:sz w:val="32"/>
          <w:szCs w:val="32"/>
        </w:rPr>
      </w:pPr>
      <w:r w:rsidRPr="00E81856">
        <w:rPr>
          <w:b/>
          <w:bCs/>
          <w:noProof/>
          <w:color w:val="FFFFFF" w:themeColor="background1"/>
          <w:sz w:val="32"/>
          <w:szCs w:val="32"/>
          <w:lang w:eastAsia="es-SV"/>
        </w:rPr>
        <w:drawing>
          <wp:anchor distT="0" distB="0" distL="114300" distR="114300" simplePos="0" relativeHeight="251664384" behindDoc="1" locked="0" layoutInCell="1" allowOverlap="1" wp14:anchorId="05D5ED2F" wp14:editId="36C15544">
            <wp:simplePos x="0" y="0"/>
            <wp:positionH relativeFrom="column">
              <wp:posOffset>2515</wp:posOffset>
            </wp:positionH>
            <wp:positionV relativeFrom="paragraph">
              <wp:posOffset>-25</wp:posOffset>
            </wp:positionV>
            <wp:extent cx="6553835" cy="751713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835" cy="7517130"/>
                    </a:xfrm>
                    <a:prstGeom prst="rect">
                      <a:avLst/>
                    </a:prstGeom>
                    <a:noFill/>
                  </pic:spPr>
                </pic:pic>
              </a:graphicData>
            </a:graphic>
            <wp14:sizeRelH relativeFrom="page">
              <wp14:pctWidth>0</wp14:pctWidth>
            </wp14:sizeRelH>
            <wp14:sizeRelV relativeFrom="page">
              <wp14:pctHeight>0</wp14:pctHeight>
            </wp14:sizeRelV>
          </wp:anchor>
        </w:drawing>
      </w:r>
      <w:r w:rsidR="00782A69" w:rsidRPr="00E81856">
        <w:rPr>
          <w:b/>
          <w:bCs/>
          <w:color w:val="FFFFFF" w:themeColor="background1"/>
          <w:sz w:val="32"/>
          <w:szCs w:val="32"/>
        </w:rPr>
        <w:t>Recolección de información con instituciones de la Comisión Técnica Especializada</w:t>
      </w:r>
    </w:p>
    <w:p w14:paraId="1CD973BF" w14:textId="66DA8B47" w:rsidR="00782A69" w:rsidRPr="00E81856" w:rsidRDefault="00782A69" w:rsidP="00E81856">
      <w:pPr>
        <w:ind w:left="1418" w:right="474"/>
        <w:jc w:val="center"/>
        <w:rPr>
          <w:b/>
          <w:bCs/>
          <w:color w:val="FFFFFF" w:themeColor="background1"/>
          <w:sz w:val="32"/>
          <w:szCs w:val="32"/>
        </w:rPr>
      </w:pPr>
      <w:r w:rsidRPr="00E81856">
        <w:rPr>
          <w:b/>
          <w:bCs/>
          <w:color w:val="FFFFFF" w:themeColor="background1"/>
          <w:sz w:val="32"/>
          <w:szCs w:val="32"/>
        </w:rPr>
        <w:t>Indicadores del Sistema de Indicadores de Progreso para la Medición de la Implementación de la Convención de Belém do Pará 2019</w:t>
      </w:r>
    </w:p>
    <w:p w14:paraId="5D3A2EC4" w14:textId="40759E0D" w:rsidR="00782A69" w:rsidRDefault="00782A69" w:rsidP="00E81856">
      <w:pPr>
        <w:ind w:left="1418" w:right="474"/>
        <w:jc w:val="center"/>
        <w:rPr>
          <w:b/>
          <w:bCs/>
          <w:color w:val="FFFFFF" w:themeColor="background1"/>
          <w:sz w:val="32"/>
          <w:szCs w:val="32"/>
        </w:rPr>
      </w:pPr>
      <w:r w:rsidRPr="00E81856">
        <w:rPr>
          <w:b/>
          <w:bCs/>
          <w:color w:val="FFFFFF" w:themeColor="background1"/>
          <w:sz w:val="32"/>
          <w:szCs w:val="32"/>
        </w:rPr>
        <w:t>Unidad Técnica Ejecutiva</w:t>
      </w:r>
    </w:p>
    <w:p w14:paraId="7B3D3DF3" w14:textId="777E7C53" w:rsidR="008E43F0" w:rsidRDefault="008E43F0" w:rsidP="00E81856">
      <w:pPr>
        <w:ind w:left="1418" w:right="474"/>
        <w:jc w:val="center"/>
        <w:rPr>
          <w:b/>
          <w:bCs/>
          <w:color w:val="FFFFFF" w:themeColor="background1"/>
          <w:sz w:val="32"/>
          <w:szCs w:val="32"/>
        </w:rPr>
      </w:pPr>
    </w:p>
    <w:p w14:paraId="4A746F77" w14:textId="6FE5170C" w:rsidR="008E43F0" w:rsidRDefault="008E43F0" w:rsidP="00E81856">
      <w:pPr>
        <w:ind w:left="1418" w:right="474"/>
        <w:jc w:val="center"/>
        <w:rPr>
          <w:b/>
          <w:bCs/>
          <w:color w:val="FFFFFF" w:themeColor="background1"/>
          <w:sz w:val="32"/>
          <w:szCs w:val="32"/>
        </w:rPr>
      </w:pPr>
    </w:p>
    <w:p w14:paraId="42B21A00" w14:textId="459C488B" w:rsidR="008E43F0" w:rsidRDefault="008E43F0" w:rsidP="00E81856">
      <w:pPr>
        <w:ind w:left="1418" w:right="474"/>
        <w:jc w:val="center"/>
        <w:rPr>
          <w:b/>
          <w:bCs/>
          <w:color w:val="FFFFFF" w:themeColor="background1"/>
          <w:sz w:val="32"/>
          <w:szCs w:val="32"/>
        </w:rPr>
      </w:pPr>
    </w:p>
    <w:p w14:paraId="1797CE78" w14:textId="35D8A07F" w:rsidR="008E43F0" w:rsidRPr="008E43F0" w:rsidRDefault="008E43F0" w:rsidP="00E81856">
      <w:pPr>
        <w:ind w:left="1418" w:right="474"/>
        <w:jc w:val="center"/>
        <w:rPr>
          <w:b/>
          <w:bCs/>
          <w:sz w:val="32"/>
          <w:szCs w:val="32"/>
        </w:rPr>
      </w:pPr>
    </w:p>
    <w:p w14:paraId="5291E5E0" w14:textId="35D8A07F" w:rsidR="008E43F0" w:rsidRPr="008E43F0" w:rsidRDefault="008E43F0" w:rsidP="00E81856">
      <w:pPr>
        <w:ind w:left="1418" w:right="474"/>
        <w:jc w:val="center"/>
        <w:rPr>
          <w:b/>
          <w:bCs/>
          <w:sz w:val="32"/>
          <w:szCs w:val="32"/>
        </w:rPr>
      </w:pPr>
    </w:p>
    <w:p w14:paraId="484E8F2A" w14:textId="08D71973" w:rsidR="008E43F0" w:rsidRPr="008E43F0" w:rsidRDefault="008E43F0" w:rsidP="00E81856">
      <w:pPr>
        <w:ind w:left="1418" w:right="474"/>
        <w:jc w:val="center"/>
        <w:rPr>
          <w:b/>
          <w:bCs/>
          <w:sz w:val="32"/>
          <w:szCs w:val="32"/>
        </w:rPr>
      </w:pPr>
    </w:p>
    <w:p w14:paraId="3EF8066D" w14:textId="4C1B5F89" w:rsidR="008E43F0" w:rsidRPr="008E43F0" w:rsidRDefault="008E43F0" w:rsidP="00E81856">
      <w:pPr>
        <w:ind w:left="1418" w:right="474"/>
        <w:jc w:val="center"/>
        <w:rPr>
          <w:b/>
          <w:bCs/>
          <w:sz w:val="32"/>
          <w:szCs w:val="32"/>
        </w:rPr>
      </w:pPr>
    </w:p>
    <w:p w14:paraId="512CDFBD" w14:textId="41902EC0" w:rsidR="008E43F0" w:rsidRPr="008E43F0" w:rsidRDefault="008E43F0" w:rsidP="00E81856">
      <w:pPr>
        <w:ind w:left="1418" w:right="474"/>
        <w:jc w:val="center"/>
        <w:rPr>
          <w:b/>
          <w:bCs/>
          <w:sz w:val="32"/>
          <w:szCs w:val="32"/>
        </w:rPr>
      </w:pPr>
    </w:p>
    <w:p w14:paraId="535E5477" w14:textId="64DB3577" w:rsidR="008E43F0" w:rsidRPr="008E43F0" w:rsidRDefault="008E43F0" w:rsidP="00E81856">
      <w:pPr>
        <w:ind w:left="1418" w:right="474"/>
        <w:jc w:val="center"/>
        <w:rPr>
          <w:b/>
          <w:bCs/>
          <w:sz w:val="32"/>
          <w:szCs w:val="32"/>
        </w:rPr>
      </w:pPr>
    </w:p>
    <w:p w14:paraId="489F0713" w14:textId="17DF2C83" w:rsidR="008E43F0" w:rsidRPr="008E43F0" w:rsidRDefault="008E43F0" w:rsidP="00E81856">
      <w:pPr>
        <w:ind w:left="1418" w:right="474"/>
        <w:jc w:val="center"/>
        <w:rPr>
          <w:b/>
          <w:bCs/>
          <w:sz w:val="32"/>
          <w:szCs w:val="32"/>
        </w:rPr>
      </w:pPr>
    </w:p>
    <w:p w14:paraId="67BB5170" w14:textId="18302A34" w:rsidR="008E43F0" w:rsidRPr="008E43F0" w:rsidRDefault="008E43F0" w:rsidP="00E81856">
      <w:pPr>
        <w:ind w:left="1418" w:right="474"/>
        <w:jc w:val="center"/>
        <w:rPr>
          <w:b/>
          <w:bCs/>
          <w:sz w:val="32"/>
          <w:szCs w:val="32"/>
        </w:rPr>
      </w:pPr>
    </w:p>
    <w:p w14:paraId="0ACFD1AE" w14:textId="61ABA9F2" w:rsidR="008E43F0" w:rsidRPr="008E43F0" w:rsidRDefault="008E43F0" w:rsidP="00E81856">
      <w:pPr>
        <w:ind w:left="1418" w:right="474"/>
        <w:jc w:val="center"/>
        <w:rPr>
          <w:b/>
          <w:bCs/>
          <w:sz w:val="32"/>
          <w:szCs w:val="32"/>
        </w:rPr>
      </w:pPr>
    </w:p>
    <w:p w14:paraId="11A3896D" w14:textId="49DBCC46" w:rsidR="008E43F0" w:rsidRPr="008E43F0" w:rsidRDefault="008E43F0" w:rsidP="00E81856">
      <w:pPr>
        <w:ind w:left="1418" w:right="474"/>
        <w:jc w:val="center"/>
        <w:rPr>
          <w:b/>
          <w:bCs/>
          <w:sz w:val="32"/>
          <w:szCs w:val="32"/>
        </w:rPr>
      </w:pPr>
    </w:p>
    <w:p w14:paraId="103883AE" w14:textId="6320736A" w:rsidR="008E43F0" w:rsidRPr="008E43F0" w:rsidRDefault="008E43F0" w:rsidP="00E81856">
      <w:pPr>
        <w:ind w:left="1418" w:right="474"/>
        <w:jc w:val="center"/>
        <w:rPr>
          <w:b/>
          <w:bCs/>
          <w:sz w:val="32"/>
          <w:szCs w:val="32"/>
        </w:rPr>
      </w:pPr>
    </w:p>
    <w:p w14:paraId="6EF8951A" w14:textId="517D005A" w:rsidR="008E43F0" w:rsidRPr="008E43F0" w:rsidRDefault="008E43F0" w:rsidP="00E81856">
      <w:pPr>
        <w:ind w:left="1418" w:right="474"/>
        <w:jc w:val="center"/>
        <w:rPr>
          <w:b/>
          <w:bCs/>
          <w:sz w:val="32"/>
          <w:szCs w:val="32"/>
        </w:rPr>
      </w:pPr>
    </w:p>
    <w:p w14:paraId="43836AEA" w14:textId="23A97444" w:rsidR="008E43F0" w:rsidRPr="008E43F0" w:rsidRDefault="008E43F0" w:rsidP="00E81856">
      <w:pPr>
        <w:ind w:left="1418" w:right="474"/>
        <w:jc w:val="center"/>
        <w:rPr>
          <w:b/>
          <w:bCs/>
          <w:sz w:val="32"/>
          <w:szCs w:val="32"/>
        </w:rPr>
      </w:pPr>
    </w:p>
    <w:p w14:paraId="36DE25B4" w14:textId="51F7F97C" w:rsidR="008E43F0" w:rsidRPr="008E43F0" w:rsidRDefault="008E43F0" w:rsidP="008E43F0">
      <w:pPr>
        <w:ind w:left="1418" w:right="474"/>
        <w:jc w:val="right"/>
        <w:rPr>
          <w:sz w:val="32"/>
          <w:szCs w:val="32"/>
        </w:rPr>
      </w:pPr>
      <w:r w:rsidRPr="008E43F0">
        <w:rPr>
          <w:noProof/>
          <w:sz w:val="32"/>
          <w:szCs w:val="32"/>
        </w:rPr>
        <w:t>2019</w:t>
      </w:r>
    </w:p>
    <w:p w14:paraId="47F09BB4" w14:textId="77777777" w:rsidR="006458D5" w:rsidRPr="005F7005" w:rsidRDefault="006458D5" w:rsidP="00733143">
      <w:pPr>
        <w:spacing w:after="0" w:line="240" w:lineRule="auto"/>
        <w:jc w:val="both"/>
      </w:pPr>
      <w:r w:rsidRPr="005F7005">
        <w:lastRenderedPageBreak/>
        <w:t xml:space="preserve">Contenido </w:t>
      </w:r>
    </w:p>
    <w:p w14:paraId="74921F01" w14:textId="184E435C" w:rsidR="006458D5" w:rsidRPr="005F7005" w:rsidRDefault="006458D5" w:rsidP="00733143">
      <w:pPr>
        <w:spacing w:after="0" w:line="240" w:lineRule="auto"/>
        <w:jc w:val="both"/>
      </w:pPr>
      <w:r w:rsidRPr="005F7005">
        <w:t xml:space="preserve">Indicadores del Módulo 1: Legislación .......................................................................................................... 1 </w:t>
      </w:r>
    </w:p>
    <w:p w14:paraId="24BC68AB" w14:textId="235CE8F2" w:rsidR="006458D5" w:rsidRPr="005F7005" w:rsidRDefault="006458D5" w:rsidP="005F7005">
      <w:pPr>
        <w:jc w:val="both"/>
      </w:pPr>
      <w:r w:rsidRPr="005F7005">
        <w:t xml:space="preserve">1.6 Existencia de procesos sistemáticos de formación, capacitación y sensibilización a funcionarios/as del sector público sobre las herramientas legales de sanción, protección y promoción de los derechos de las mujeres, particularmente el derecho a una vida libre de violencia. R19 ....................................................... 1 </w:t>
      </w:r>
    </w:p>
    <w:p w14:paraId="6B0832F9" w14:textId="5D43EE4A" w:rsidR="006458D5" w:rsidRPr="005F7005" w:rsidRDefault="006458D5" w:rsidP="005F7005">
      <w:pPr>
        <w:jc w:val="both"/>
      </w:pPr>
      <w:r w:rsidRPr="005F7005">
        <w:t xml:space="preserve">1.6 a) Tipo de procesos existentes (naturaleza, tiempo, contenidos) ............................................................ 1 </w:t>
      </w:r>
    </w:p>
    <w:p w14:paraId="349865E8" w14:textId="6FE20374" w:rsidR="006458D5" w:rsidRPr="005F7005" w:rsidRDefault="006458D5" w:rsidP="005F7005">
      <w:pPr>
        <w:jc w:val="both"/>
      </w:pPr>
      <w:r w:rsidRPr="005F7005">
        <w:t xml:space="preserve">1.6 b) Número y tipo de entidades del sector público que asumen estos procesos ...................................... 2 </w:t>
      </w:r>
    </w:p>
    <w:p w14:paraId="558A3B0A" w14:textId="3ACD60A3" w:rsidR="006458D5" w:rsidRPr="005F7005" w:rsidRDefault="006458D5" w:rsidP="005F7005">
      <w:pPr>
        <w:jc w:val="both"/>
      </w:pPr>
      <w:r w:rsidRPr="005F7005">
        <w:t xml:space="preserve">1.6 c) Número de funcionarios/as que accedieron a los procesos ................................................................. 3 </w:t>
      </w:r>
    </w:p>
    <w:p w14:paraId="3307CC98" w14:textId="390DBD93" w:rsidR="006458D5" w:rsidRPr="005F7005" w:rsidRDefault="006458D5" w:rsidP="005F7005">
      <w:pPr>
        <w:jc w:val="both"/>
      </w:pPr>
      <w:r w:rsidRPr="005F7005">
        <w:t>1.6 d) Mecanismos de intercambio, seguimiento y evaluación de los procesos formativos</w:t>
      </w:r>
      <w:r w:rsidR="005F7005">
        <w:t xml:space="preserve"> </w:t>
      </w:r>
      <w:r w:rsidRPr="005F7005">
        <w:t xml:space="preserve">......................... 3 </w:t>
      </w:r>
    </w:p>
    <w:p w14:paraId="4D40B484" w14:textId="2D6F35D1" w:rsidR="006458D5" w:rsidRPr="005F7005" w:rsidRDefault="006458D5" w:rsidP="005F7005">
      <w:pPr>
        <w:jc w:val="both"/>
      </w:pPr>
      <w:r w:rsidRPr="005F7005">
        <w:t xml:space="preserve">1.11 Protocolos de actuación para operadores de justicia, (prestadores de servicios) de salud, educadores/as, funcionarios/as públicos/as en relación con las distintas formas de violencia. R7, R8, R10, R11, R12, R15, R27 </w:t>
      </w:r>
      <w:r w:rsidR="005F7005">
        <w:t>……………………………………………………………………………………………………………………….</w:t>
      </w:r>
      <w:r w:rsidRPr="005F7005">
        <w:t xml:space="preserve">............ 3 </w:t>
      </w:r>
    </w:p>
    <w:p w14:paraId="465A08DD" w14:textId="16D60521" w:rsidR="006458D5" w:rsidRPr="005F7005" w:rsidRDefault="006458D5" w:rsidP="005F7005">
      <w:pPr>
        <w:jc w:val="both"/>
      </w:pPr>
      <w:r w:rsidRPr="005F7005">
        <w:t>1.16 Informes de monitoreo del conocimiento, comprensión y aplicación de protocolos y reglamentos específicos en materia de derechos de las mujeres, como parte de evaluaciones periódicas para acceder a incentivos, créditos, escalafones (sectores justicia, salud, educación). R18, R20</w:t>
      </w:r>
      <w:r w:rsidR="005F7005">
        <w:t>…………………………………………………………………………………………….</w:t>
      </w:r>
      <w:r w:rsidRPr="005F7005">
        <w:t xml:space="preserve">................................................................. 4 </w:t>
      </w:r>
    </w:p>
    <w:p w14:paraId="0712E91F" w14:textId="32D75A01" w:rsidR="006458D5" w:rsidRPr="005F7005" w:rsidRDefault="006458D5" w:rsidP="005F7005">
      <w:pPr>
        <w:jc w:val="both"/>
      </w:pPr>
      <w:r w:rsidRPr="005F7005">
        <w:t>Indicadores del Módulo 2: Planes Nacionales .......................................................................</w:t>
      </w:r>
      <w:r w:rsidR="005F7005">
        <w:t>........</w:t>
      </w:r>
      <w:r w:rsidRPr="005F7005">
        <w:t xml:space="preserve">................ 4 </w:t>
      </w:r>
    </w:p>
    <w:p w14:paraId="7B85EDC6" w14:textId="16470E81" w:rsidR="006458D5" w:rsidRPr="005F7005" w:rsidRDefault="006458D5" w:rsidP="005F7005">
      <w:pPr>
        <w:jc w:val="both"/>
      </w:pPr>
      <w:r w:rsidRPr="005F7005">
        <w:t>2.1 Plan nacional, política, acción, estrategia para la prevención, atención y erradicación de la violencia contra las niñas y adolescentes, mujeres adultas y adultas mayores en sus diversas manifestaciones. Alcance y características considerando niñas y adolescentes, mujeres adultas y adultas mayores de diversidad étnica, afrodescendientes, rurales, con discapacidades, con opciones sexuales diversas, por su orientación sexual, por su identidad de género, en situación de migrantes, refugiadas, desplazadas o privadas de la libertad. R17 ..............................................................</w:t>
      </w:r>
      <w:r w:rsidR="00E1201A">
        <w:t>...................................................................................................</w:t>
      </w:r>
      <w:r w:rsidRPr="005F7005">
        <w:t xml:space="preserve"> 4 </w:t>
      </w:r>
    </w:p>
    <w:p w14:paraId="5BFFC8E1" w14:textId="4858E928" w:rsidR="006458D5" w:rsidRPr="005F7005" w:rsidRDefault="006458D5" w:rsidP="005F7005">
      <w:pPr>
        <w:jc w:val="both"/>
      </w:pPr>
      <w:r w:rsidRPr="005F7005">
        <w:t>2.5 Número y características de organizaciones de la sociedad civil que participan en la promoción y la protección del derecho a una vida libre de violencia, teniendo en cuenta en particular las organizaciones involucradas con las niñas y adolescentes, mujeres adultas y adultas mayores indígenas, afrodescendientes, rurales, con discapacidad, con diferentes preferencias sexuales, por su identidad de género, los migrantes, los refugiados, las personas desplazadas o privadas de su libertad. Indicar formas y tipo de participación. R20 ...........................................................................</w:t>
      </w:r>
      <w:r w:rsidR="00E1201A">
        <w:t>.....................................................................................</w:t>
      </w:r>
      <w:r w:rsidRPr="005F7005">
        <w:t xml:space="preserve">. 5 </w:t>
      </w:r>
    </w:p>
    <w:p w14:paraId="7ECA34A1" w14:textId="09DFFD72" w:rsidR="006458D5" w:rsidRPr="005F7005" w:rsidRDefault="006458D5" w:rsidP="005F7005">
      <w:pPr>
        <w:jc w:val="both"/>
      </w:pPr>
      <w:r w:rsidRPr="005F7005">
        <w:t>2.15 Características, cobertura y periodicidad de campañas de difusión contra el acoso sexual.  R32 ..........................</w:t>
      </w:r>
      <w:r w:rsidR="00E1201A">
        <w:t>..............................................................................................................................................</w:t>
      </w:r>
      <w:r w:rsidRPr="005F7005">
        <w:t xml:space="preserve">. 6 </w:t>
      </w:r>
    </w:p>
    <w:p w14:paraId="2E51FCF9" w14:textId="4CC1AD38" w:rsidR="006458D5" w:rsidRPr="005F7005" w:rsidRDefault="006458D5" w:rsidP="005F7005">
      <w:pPr>
        <w:jc w:val="both"/>
      </w:pPr>
      <w:r w:rsidRPr="005F7005">
        <w:t>2.16 Porcentaje del gasto público social destinado a garantizar una vida sin violencia R36..........................................</w:t>
      </w:r>
      <w:r w:rsidR="00E1201A">
        <w:t>.......................................................................................................................</w:t>
      </w:r>
      <w:r w:rsidRPr="005F7005">
        <w:t xml:space="preserve">.. 6 </w:t>
      </w:r>
    </w:p>
    <w:p w14:paraId="1A62B94C" w14:textId="32F0A099" w:rsidR="006458D5" w:rsidRPr="005F7005" w:rsidRDefault="006458D5" w:rsidP="006458D5">
      <w:r w:rsidRPr="005F7005">
        <w:t xml:space="preserve">2.16 a) Acciones, planes, estrategias y programas de violencia </w:t>
      </w:r>
      <w:r w:rsidR="00733143">
        <w:t>.</w:t>
      </w:r>
      <w:r w:rsidRPr="005F7005">
        <w:t xml:space="preserve">.................................................................... 6 </w:t>
      </w:r>
    </w:p>
    <w:p w14:paraId="19BF21E3" w14:textId="5C15E5D5" w:rsidR="00B85EC9" w:rsidRPr="005F7005" w:rsidRDefault="006458D5" w:rsidP="006458D5">
      <w:r w:rsidRPr="005F7005">
        <w:t>2.16 c) Capacitación de recursos humanos en violencia en los tres poderes del Estado ............................... 6</w:t>
      </w:r>
      <w:r w:rsidR="00782A69" w:rsidRPr="005F7005">
        <w:t xml:space="preserve"> </w:t>
      </w:r>
    </w:p>
    <w:p w14:paraId="5EEA7ED1" w14:textId="3B689A53" w:rsidR="00B85EC9" w:rsidRPr="005F7005" w:rsidRDefault="00B85EC9"/>
    <w:p w14:paraId="4AFBC43D" w14:textId="77777777" w:rsidR="00B56CA1" w:rsidRDefault="00B56CA1" w:rsidP="00B56CA1">
      <w:pPr>
        <w:pBdr>
          <w:top w:val="single" w:sz="4" w:space="1" w:color="auto"/>
        </w:pBdr>
        <w:jc w:val="both"/>
      </w:pPr>
    </w:p>
    <w:p w14:paraId="1DCBD7C6" w14:textId="1C56DA27" w:rsidR="006458D5" w:rsidRPr="00B56CA1" w:rsidRDefault="006458D5" w:rsidP="006458D5">
      <w:pPr>
        <w:jc w:val="both"/>
        <w:rPr>
          <w:b/>
          <w:bCs/>
        </w:rPr>
      </w:pPr>
      <w:r w:rsidRPr="00B56CA1">
        <w:rPr>
          <w:b/>
          <w:bCs/>
        </w:rPr>
        <w:t xml:space="preserve">Indicaciones: </w:t>
      </w:r>
    </w:p>
    <w:p w14:paraId="30217802" w14:textId="77777777" w:rsidR="006458D5" w:rsidRPr="00733143" w:rsidRDefault="006458D5" w:rsidP="006458D5">
      <w:pPr>
        <w:jc w:val="both"/>
      </w:pPr>
      <w:r w:rsidRPr="00733143">
        <w:t xml:space="preserve">Para el llenado del presente informe se recomienda leer el Instructivo de Ingreso de Información del Sistema de Indicadores de Progreso para la Medición de la Implementación de la Convención de Belém do Pará 2019. </w:t>
      </w:r>
    </w:p>
    <w:p w14:paraId="44789FE6" w14:textId="77777777" w:rsidR="00B56CA1" w:rsidRDefault="006458D5" w:rsidP="006458D5">
      <w:pPr>
        <w:jc w:val="both"/>
      </w:pPr>
      <w:r w:rsidRPr="00733143">
        <w:t xml:space="preserve">Los campos en los cuales se debe ingresar información son: </w:t>
      </w:r>
    </w:p>
    <w:p w14:paraId="399794CC" w14:textId="77777777" w:rsidR="00B56CA1" w:rsidRDefault="006458D5" w:rsidP="00B56CA1">
      <w:pPr>
        <w:pStyle w:val="Prrafodelista"/>
        <w:numPr>
          <w:ilvl w:val="0"/>
          <w:numId w:val="1"/>
        </w:numPr>
        <w:jc w:val="both"/>
      </w:pPr>
      <w:r w:rsidRPr="00B56CA1">
        <w:rPr>
          <w:b/>
          <w:bCs/>
        </w:rPr>
        <w:t>Información de avance:</w:t>
      </w:r>
      <w:r w:rsidRPr="00733143">
        <w:t xml:space="preserve"> aparece sombreado en color gris, en este apartado se debe ingresar la información de avance del indicador, se encuentra limitado a 225 palabras, lo que equivale a media página. </w:t>
      </w:r>
    </w:p>
    <w:p w14:paraId="0F05BD98" w14:textId="07342144" w:rsidR="006458D5" w:rsidRPr="00733143" w:rsidRDefault="006458D5" w:rsidP="00B56CA1">
      <w:pPr>
        <w:pStyle w:val="Prrafodelista"/>
        <w:numPr>
          <w:ilvl w:val="0"/>
          <w:numId w:val="1"/>
        </w:numPr>
        <w:jc w:val="both"/>
      </w:pPr>
      <w:r w:rsidRPr="00B56CA1">
        <w:rPr>
          <w:b/>
          <w:bCs/>
        </w:rPr>
        <w:t>Datos estadísticos:</w:t>
      </w:r>
      <w:r w:rsidRPr="00733143">
        <w:t xml:space="preserve"> contiene el texto Haga clic o pulse aquí para ingresar datos estadísticos, en este apartado se deben colocar los cuadros estadísticos, gráficos o información que complemente el texto ingresado en el primer apartado. </w:t>
      </w:r>
    </w:p>
    <w:p w14:paraId="6A473407" w14:textId="77777777" w:rsidR="006458D5" w:rsidRPr="00733143" w:rsidRDefault="006458D5" w:rsidP="00B56CA1">
      <w:pPr>
        <w:pBdr>
          <w:bottom w:val="single" w:sz="4" w:space="1" w:color="auto"/>
        </w:pBdr>
        <w:jc w:val="both"/>
      </w:pPr>
      <w:r w:rsidRPr="00733143">
        <w:t xml:space="preserve"> </w:t>
      </w:r>
    </w:p>
    <w:p w14:paraId="48A3D925" w14:textId="4F282453" w:rsidR="006458D5" w:rsidRPr="00A338C3" w:rsidRDefault="006458D5" w:rsidP="00A338C3">
      <w:pPr>
        <w:jc w:val="center"/>
        <w:rPr>
          <w:b/>
          <w:bCs/>
          <w:color w:val="4472C4" w:themeColor="accent1"/>
        </w:rPr>
      </w:pPr>
      <w:r w:rsidRPr="00A338C3">
        <w:rPr>
          <w:b/>
          <w:bCs/>
          <w:color w:val="4472C4" w:themeColor="accent1"/>
        </w:rPr>
        <w:t>Indicadores del Módulo 1: Legislación</w:t>
      </w:r>
    </w:p>
    <w:p w14:paraId="21542028" w14:textId="77777777" w:rsidR="00A338C3" w:rsidRDefault="006458D5" w:rsidP="006458D5">
      <w:pPr>
        <w:jc w:val="both"/>
      </w:pPr>
      <w:r w:rsidRPr="00A338C3">
        <w:rPr>
          <w:b/>
          <w:bCs/>
        </w:rPr>
        <w:t xml:space="preserve">Nota: </w:t>
      </w:r>
      <w:r w:rsidRPr="00733143">
        <w:t>los indicadores del módulo1 se encuentran en las páginas de la 34-45 de la Guía Práctica para la Aplicación del Sistema de Indicadores de Progreso para la medición de la Implementación de la Convención de Belém do Pará</w:t>
      </w:r>
      <w:r w:rsidR="00A338C3">
        <w:t>.</w:t>
      </w:r>
    </w:p>
    <w:p w14:paraId="50CE29CC" w14:textId="419C396F" w:rsidR="006458D5" w:rsidRPr="00733143" w:rsidRDefault="006458D5" w:rsidP="00A338C3">
      <w:pPr>
        <w:pBdr>
          <w:bottom w:val="single" w:sz="4" w:space="1" w:color="auto"/>
        </w:pBdr>
        <w:jc w:val="both"/>
      </w:pPr>
      <w:r w:rsidRPr="00733143">
        <w:t xml:space="preserve"> </w:t>
      </w:r>
    </w:p>
    <w:p w14:paraId="10264A48" w14:textId="77777777" w:rsidR="006458D5" w:rsidRPr="00A338C3" w:rsidRDefault="006458D5" w:rsidP="006458D5">
      <w:pPr>
        <w:jc w:val="both"/>
        <w:rPr>
          <w:b/>
          <w:bCs/>
        </w:rPr>
      </w:pPr>
      <w:r w:rsidRPr="00A338C3">
        <w:rPr>
          <w:b/>
          <w:bCs/>
        </w:rPr>
        <w:t>1.6</w:t>
      </w:r>
      <w:r w:rsidRPr="00733143">
        <w:t xml:space="preserve"> </w:t>
      </w:r>
      <w:r w:rsidRPr="00A338C3">
        <w:rPr>
          <w:b/>
          <w:bCs/>
        </w:rPr>
        <w:t xml:space="preserve">Existencia de procesos sistemáticos de formación, capacitación y sensibilización a funcionarios/as del sector público sobre las herramientas legales de sanción, protección y promoción de los derechos de las mujeres, particularmente el derecho a una vida libre de violencia. R19  </w:t>
      </w:r>
    </w:p>
    <w:p w14:paraId="27FC7776" w14:textId="77777777" w:rsidR="006458D5" w:rsidRPr="00A338C3" w:rsidRDefault="006458D5" w:rsidP="006458D5">
      <w:pPr>
        <w:jc w:val="both"/>
        <w:rPr>
          <w:b/>
          <w:bCs/>
        </w:rPr>
      </w:pPr>
      <w:r w:rsidRPr="00A338C3">
        <w:rPr>
          <w:b/>
          <w:bCs/>
        </w:rPr>
        <w:t xml:space="preserve">1.6 a) Tipo de procesos existentes (naturaleza, tiempo, contenidos) </w:t>
      </w:r>
    </w:p>
    <w:p w14:paraId="1B7FB266" w14:textId="3469CFDD" w:rsidR="006458D5" w:rsidRDefault="006458D5" w:rsidP="006458D5">
      <w:pPr>
        <w:jc w:val="both"/>
        <w:rPr>
          <w:color w:val="FF0000"/>
        </w:rPr>
      </w:pPr>
      <w:r w:rsidRPr="00F31664">
        <w:rPr>
          <w:color w:val="FF0000"/>
        </w:rPr>
        <w:t xml:space="preserve">Información de avance </w:t>
      </w:r>
    </w:p>
    <w:p w14:paraId="01DD4EED" w14:textId="77777777" w:rsidR="00394BB1" w:rsidRDefault="00394BB1" w:rsidP="00394BB1">
      <w:pPr>
        <w:jc w:val="both"/>
      </w:pPr>
      <w:r>
        <w:t>S</w:t>
      </w:r>
      <w:r w:rsidRPr="005A28BA">
        <w:t xml:space="preserve">e desarrolló el curso “Erradicar la reproducción de esquemas Culturales y Sociales Discriminatorios que promueven la Violencia contra las Mujeres”, dirigidas al personal de la UTE de las cuatro zonas del país; formando </w:t>
      </w:r>
      <w:r>
        <w:t xml:space="preserve">a </w:t>
      </w:r>
      <w:r w:rsidRPr="005A28BA">
        <w:t>catorce mujeres y doce hombres, personas servidoras públicas de la UTE</w:t>
      </w:r>
      <w:r>
        <w:t>, dicho curso tuvo una duración de veinte horas, impartidas en cuatro días en el mes de septiembre 2019</w:t>
      </w:r>
      <w:r w:rsidRPr="005A28BA">
        <w:t>.</w:t>
      </w:r>
    </w:p>
    <w:p w14:paraId="222978BF" w14:textId="77777777" w:rsidR="00394BB1" w:rsidRDefault="00394BB1" w:rsidP="00394BB1">
      <w:pPr>
        <w:jc w:val="both"/>
      </w:pPr>
      <w:r>
        <w:t xml:space="preserve">Se desarrolló el curso denominado: “El acoso laboral y sexual. Sus aspectos históricos, culturales y sus consecuencias en el marco de la Administración Pública” </w:t>
      </w:r>
      <w:r w:rsidRPr="002517F9">
        <w:t>dirigido a las jefaturas de la UTE, el cuál fue desarrollado</w:t>
      </w:r>
      <w:r>
        <w:t xml:space="preserve"> en el cuarto trimestre de 2019 en los meses de octubre y noviembre</w:t>
      </w:r>
      <w:r w:rsidRPr="002517F9">
        <w:t>,</w:t>
      </w:r>
      <w:r>
        <w:t xml:space="preserve"> formando a 13 personas entre ellas seis mujeres y siete hombres</w:t>
      </w:r>
      <w:r w:rsidRPr="002517F9">
        <w:t>.</w:t>
      </w:r>
    </w:p>
    <w:p w14:paraId="2C09F608" w14:textId="16556A5A" w:rsidR="00394BB1" w:rsidRDefault="00394BB1" w:rsidP="00394BB1">
      <w:pPr>
        <w:jc w:val="both"/>
      </w:pPr>
      <w:r>
        <w:t>En el Primer trimestre de 2020, s</w:t>
      </w:r>
      <w:r w:rsidRPr="0096313B">
        <w:t xml:space="preserve">e realizó </w:t>
      </w:r>
      <w:r>
        <w:t>T</w:t>
      </w:r>
      <w:r w:rsidRPr="0096313B">
        <w:t>aller formativo</w:t>
      </w:r>
      <w:r>
        <w:t xml:space="preserve"> </w:t>
      </w:r>
      <w:r w:rsidRPr="00B17D66">
        <w:t>sobre Derechos de las Mujeres</w:t>
      </w:r>
      <w:r>
        <w:t>, dirigido</w:t>
      </w:r>
      <w:r w:rsidRPr="0096313B">
        <w:t xml:space="preserve"> a </w:t>
      </w:r>
      <w:r>
        <w:t xml:space="preserve">personas Comunicadoras </w:t>
      </w:r>
      <w:r w:rsidRPr="00B17D66">
        <w:t>del Sector de Justicia, con</w:t>
      </w:r>
      <w:r>
        <w:t xml:space="preserve"> una duración de  </w:t>
      </w:r>
      <w:r w:rsidRPr="006123AD">
        <w:t xml:space="preserve">64 horas, </w:t>
      </w:r>
      <w:r>
        <w:t>se formaron a dieciséis mujeres y cuatro hombres.</w:t>
      </w:r>
    </w:p>
    <w:p w14:paraId="0453FBCF" w14:textId="77777777" w:rsidR="00394BB1" w:rsidRDefault="00394BB1" w:rsidP="00394BB1">
      <w:pPr>
        <w:jc w:val="both"/>
      </w:pPr>
      <w:r>
        <w:lastRenderedPageBreak/>
        <w:t xml:space="preserve">En febrero 2020 se desarrolló </w:t>
      </w:r>
      <w:r w:rsidRPr="0096313B">
        <w:t xml:space="preserve">taller formativo de Vocería </w:t>
      </w:r>
      <w:r>
        <w:t xml:space="preserve">con enfoque de Género </w:t>
      </w:r>
      <w:r w:rsidRPr="0096313B">
        <w:t xml:space="preserve">dirigido a funcionarias </w:t>
      </w:r>
      <w:r>
        <w:t xml:space="preserve">del Sector de Justicia </w:t>
      </w:r>
      <w:r w:rsidRPr="0096313B">
        <w:t>siendo las participantes referentes de género</w:t>
      </w:r>
      <w:r>
        <w:t>, con una duración de 16 horas, formando a doce funcionarias y 4 funcionarios.</w:t>
      </w:r>
    </w:p>
    <w:p w14:paraId="65DDAD73" w14:textId="24EFDE50" w:rsidR="00394BB1" w:rsidRDefault="00394BB1" w:rsidP="00394BB1">
      <w:pPr>
        <w:jc w:val="both"/>
      </w:pPr>
      <w:r>
        <w:t xml:space="preserve">Se han formado en el </w:t>
      </w:r>
      <w:r w:rsidRPr="00013787">
        <w:t>Módulo virtual de ABC para la “Igualdad Sustantiva” realizado por la Escuela de Formación para la Igualdad Sustantiva en los meses de mayo y junio de 2020</w:t>
      </w:r>
      <w:r>
        <w:t xml:space="preserve"> dos mujeres y un hombre.</w:t>
      </w:r>
    </w:p>
    <w:p w14:paraId="5A582055" w14:textId="77777777" w:rsidR="00394BB1" w:rsidRPr="00F31664" w:rsidRDefault="00394BB1" w:rsidP="006458D5">
      <w:pPr>
        <w:jc w:val="both"/>
        <w:rPr>
          <w:color w:val="FF0000"/>
        </w:rPr>
      </w:pPr>
    </w:p>
    <w:p w14:paraId="00E4174D" w14:textId="5EC2A97F" w:rsidR="006458D5" w:rsidRPr="00F31664" w:rsidRDefault="006458D5" w:rsidP="006458D5">
      <w:pPr>
        <w:jc w:val="both"/>
        <w:rPr>
          <w:color w:val="FF0000"/>
        </w:rPr>
      </w:pPr>
      <w:r w:rsidRPr="00F31664">
        <w:rPr>
          <w:color w:val="FF0000"/>
        </w:rPr>
        <w:t xml:space="preserve">Datos estadísticos </w:t>
      </w:r>
    </w:p>
    <w:p w14:paraId="6CED4B05" w14:textId="7DB5B5A2" w:rsidR="0024560B" w:rsidRDefault="00394BB1" w:rsidP="006458D5">
      <w:pPr>
        <w:jc w:val="both"/>
        <w:rPr>
          <w:sz w:val="20"/>
          <w:szCs w:val="20"/>
        </w:rPr>
      </w:pPr>
      <w:r>
        <w:rPr>
          <w:noProof/>
          <w:lang w:eastAsia="es-SV"/>
        </w:rPr>
        <w:drawing>
          <wp:inline distT="0" distB="0" distL="0" distR="0" wp14:anchorId="4821E228" wp14:editId="56EDE435">
            <wp:extent cx="4572000" cy="2743200"/>
            <wp:effectExtent l="0" t="0" r="0" b="0"/>
            <wp:docPr id="5" name="Gráfico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AE1534-BC5B-43DB-8729-DD63A50D2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060655" w14:textId="47451F36" w:rsidR="00394BB1" w:rsidRDefault="00394BB1" w:rsidP="006458D5">
      <w:pPr>
        <w:jc w:val="both"/>
        <w:rPr>
          <w:sz w:val="20"/>
          <w:szCs w:val="20"/>
        </w:rPr>
      </w:pPr>
    </w:p>
    <w:p w14:paraId="41CB2AA4" w14:textId="1202E27E" w:rsidR="00394BB1" w:rsidRDefault="00394BB1" w:rsidP="006458D5">
      <w:pPr>
        <w:jc w:val="both"/>
        <w:rPr>
          <w:sz w:val="20"/>
          <w:szCs w:val="20"/>
        </w:rPr>
      </w:pPr>
      <w:r>
        <w:rPr>
          <w:noProof/>
          <w:lang w:eastAsia="es-SV"/>
        </w:rPr>
        <w:drawing>
          <wp:inline distT="0" distB="0" distL="0" distR="0" wp14:anchorId="044DE486" wp14:editId="3B44AE37">
            <wp:extent cx="4572000" cy="2743200"/>
            <wp:effectExtent l="0" t="0" r="0" b="0"/>
            <wp:docPr id="6" name="Gráfico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2FEB92-0219-4E62-9A5A-F341593AC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B7AD61" w14:textId="3D224574" w:rsidR="00394BB1" w:rsidRDefault="00394BB1" w:rsidP="006458D5">
      <w:pPr>
        <w:jc w:val="both"/>
        <w:rPr>
          <w:sz w:val="20"/>
          <w:szCs w:val="20"/>
        </w:rPr>
      </w:pPr>
      <w:r>
        <w:rPr>
          <w:noProof/>
          <w:lang w:eastAsia="es-SV"/>
        </w:rPr>
        <w:drawing>
          <wp:inline distT="0" distB="0" distL="0" distR="0" wp14:anchorId="3BD3FCF4" wp14:editId="4E9BDE0D">
            <wp:extent cx="4572000" cy="2743200"/>
            <wp:effectExtent l="0" t="0" r="0" b="0"/>
            <wp:docPr id="7" name="Gráfico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5A222C-5B20-4E67-A3ED-D79BF712B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714110C" w14:textId="4119E8B2" w:rsidR="00394BB1" w:rsidRDefault="00394BB1" w:rsidP="006458D5">
      <w:pPr>
        <w:jc w:val="both"/>
        <w:rPr>
          <w:sz w:val="20"/>
          <w:szCs w:val="20"/>
        </w:rPr>
      </w:pPr>
    </w:p>
    <w:p w14:paraId="1A00BA0D" w14:textId="7B2D7B05" w:rsidR="00394BB1" w:rsidRDefault="00394BB1" w:rsidP="006458D5">
      <w:pPr>
        <w:jc w:val="both"/>
        <w:rPr>
          <w:sz w:val="20"/>
          <w:szCs w:val="20"/>
        </w:rPr>
      </w:pPr>
      <w:r>
        <w:rPr>
          <w:noProof/>
          <w:lang w:eastAsia="es-SV"/>
        </w:rPr>
        <w:drawing>
          <wp:inline distT="0" distB="0" distL="0" distR="0" wp14:anchorId="65916CBE" wp14:editId="1705B3E1">
            <wp:extent cx="4572000" cy="2743200"/>
            <wp:effectExtent l="0" t="0" r="0" b="0"/>
            <wp:docPr id="2" name="Gráfico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796599-2CB5-4BDF-8DC9-6EBF3C3E0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D56761" w14:textId="2295756C" w:rsidR="00394BB1" w:rsidRDefault="00394BB1" w:rsidP="006458D5">
      <w:pPr>
        <w:jc w:val="both"/>
        <w:rPr>
          <w:sz w:val="20"/>
          <w:szCs w:val="20"/>
        </w:rPr>
      </w:pPr>
    </w:p>
    <w:p w14:paraId="5AC6777D" w14:textId="3D040483" w:rsidR="00394BB1" w:rsidRDefault="00394BB1" w:rsidP="006458D5">
      <w:pPr>
        <w:jc w:val="both"/>
        <w:rPr>
          <w:sz w:val="20"/>
          <w:szCs w:val="20"/>
        </w:rPr>
      </w:pPr>
      <w:r>
        <w:rPr>
          <w:noProof/>
          <w:lang w:eastAsia="es-SV"/>
        </w:rPr>
        <w:drawing>
          <wp:inline distT="0" distB="0" distL="0" distR="0" wp14:anchorId="3E9D67E8" wp14:editId="37A813B0">
            <wp:extent cx="4572000" cy="2743200"/>
            <wp:effectExtent l="0" t="0" r="0" b="0"/>
            <wp:docPr id="9" name="Gráfico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2C7B75-6462-44FF-A831-37653429A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2DF220" w14:textId="77777777" w:rsidR="00394BB1" w:rsidRDefault="00394BB1" w:rsidP="006458D5">
      <w:pPr>
        <w:jc w:val="both"/>
        <w:rPr>
          <w:sz w:val="20"/>
          <w:szCs w:val="20"/>
        </w:rPr>
      </w:pPr>
    </w:p>
    <w:p w14:paraId="12D9D992" w14:textId="77777777" w:rsidR="00377ECC" w:rsidRPr="00377ECC" w:rsidRDefault="00377ECC" w:rsidP="006458D5">
      <w:pPr>
        <w:jc w:val="both"/>
        <w:rPr>
          <w:b/>
          <w:bCs/>
          <w:sz w:val="20"/>
          <w:szCs w:val="20"/>
        </w:rPr>
      </w:pPr>
    </w:p>
    <w:p w14:paraId="40185DA5" w14:textId="77777777" w:rsidR="00377ECC" w:rsidRPr="00377ECC" w:rsidRDefault="00377ECC" w:rsidP="00377ECC">
      <w:pPr>
        <w:pBdr>
          <w:top w:val="single" w:sz="4" w:space="1" w:color="auto"/>
        </w:pBdr>
        <w:jc w:val="both"/>
        <w:rPr>
          <w:b/>
          <w:bCs/>
          <w:sz w:val="20"/>
          <w:szCs w:val="20"/>
        </w:rPr>
      </w:pPr>
    </w:p>
    <w:p w14:paraId="15AA922F" w14:textId="1A90CD15" w:rsidR="0024560B" w:rsidRPr="00F31664" w:rsidRDefault="0024560B" w:rsidP="0024560B">
      <w:pPr>
        <w:jc w:val="both"/>
        <w:rPr>
          <w:b/>
          <w:bCs/>
          <w:sz w:val="20"/>
          <w:szCs w:val="20"/>
        </w:rPr>
      </w:pPr>
      <w:r w:rsidRPr="00F31664">
        <w:rPr>
          <w:b/>
          <w:bCs/>
          <w:sz w:val="20"/>
          <w:szCs w:val="20"/>
        </w:rPr>
        <w:t xml:space="preserve">1.6 b) Número y tipo de entidades del sector público que asumen estos procesos </w:t>
      </w:r>
    </w:p>
    <w:p w14:paraId="4BB6C2DB" w14:textId="77777777" w:rsidR="0024560B" w:rsidRPr="00F31664" w:rsidRDefault="0024560B" w:rsidP="0024560B">
      <w:pPr>
        <w:jc w:val="both"/>
        <w:rPr>
          <w:color w:val="FF0000"/>
          <w:sz w:val="20"/>
          <w:szCs w:val="20"/>
        </w:rPr>
      </w:pPr>
      <w:r w:rsidRPr="00F31664">
        <w:rPr>
          <w:color w:val="FF0000"/>
          <w:sz w:val="20"/>
          <w:szCs w:val="20"/>
        </w:rPr>
        <w:t xml:space="preserve">Información de avance </w:t>
      </w:r>
    </w:p>
    <w:p w14:paraId="0BE9CF8D" w14:textId="77777777" w:rsidR="00394BB1" w:rsidRDefault="00394BB1" w:rsidP="00394BB1">
      <w:pPr>
        <w:jc w:val="both"/>
      </w:pPr>
      <w:r>
        <w:t>Dos Instituciones tales como ISDEMU y UTE.</w:t>
      </w:r>
    </w:p>
    <w:p w14:paraId="5FB3ACE4" w14:textId="77777777" w:rsidR="0024560B" w:rsidRPr="0024560B" w:rsidRDefault="0024560B" w:rsidP="00377ECC">
      <w:pPr>
        <w:pBdr>
          <w:bottom w:val="single" w:sz="4" w:space="1" w:color="auto"/>
        </w:pBdr>
        <w:jc w:val="both"/>
        <w:rPr>
          <w:sz w:val="20"/>
          <w:szCs w:val="20"/>
        </w:rPr>
      </w:pPr>
      <w:r w:rsidRPr="0024560B">
        <w:rPr>
          <w:sz w:val="20"/>
          <w:szCs w:val="20"/>
        </w:rPr>
        <w:t xml:space="preserve"> </w:t>
      </w:r>
    </w:p>
    <w:p w14:paraId="18CC81FD" w14:textId="3084B39E" w:rsidR="0024560B" w:rsidRDefault="0024560B" w:rsidP="0024560B">
      <w:pPr>
        <w:jc w:val="both"/>
        <w:rPr>
          <w:color w:val="FF0000"/>
          <w:sz w:val="20"/>
          <w:szCs w:val="20"/>
        </w:rPr>
      </w:pPr>
      <w:r w:rsidRPr="00F31664">
        <w:rPr>
          <w:color w:val="FF0000"/>
          <w:sz w:val="20"/>
          <w:szCs w:val="20"/>
        </w:rPr>
        <w:t>Datos estadísticos</w:t>
      </w:r>
    </w:p>
    <w:p w14:paraId="6DEB7ECD" w14:textId="3E377D7B" w:rsidR="00701CB6" w:rsidRDefault="00701CB6" w:rsidP="00701CB6">
      <w:pPr>
        <w:pBdr>
          <w:bottom w:val="single" w:sz="4" w:space="1" w:color="auto"/>
        </w:pBdr>
        <w:jc w:val="both"/>
        <w:rPr>
          <w:color w:val="FF0000"/>
          <w:sz w:val="20"/>
          <w:szCs w:val="20"/>
        </w:rPr>
      </w:pPr>
    </w:p>
    <w:p w14:paraId="71D59C51" w14:textId="7E24E7EF" w:rsidR="00701CB6" w:rsidRDefault="00394BB1" w:rsidP="0024560B">
      <w:pPr>
        <w:jc w:val="both"/>
        <w:rPr>
          <w:color w:val="FF0000"/>
          <w:sz w:val="20"/>
          <w:szCs w:val="20"/>
        </w:rPr>
      </w:pPr>
      <w:r>
        <w:rPr>
          <w:noProof/>
          <w:lang w:eastAsia="es-SV"/>
        </w:rPr>
        <w:drawing>
          <wp:inline distT="0" distB="0" distL="0" distR="0" wp14:anchorId="68E2AEC3" wp14:editId="5B576141">
            <wp:extent cx="4572000" cy="2743200"/>
            <wp:effectExtent l="0" t="0" r="0" b="0"/>
            <wp:docPr id="11" name="Gráfico 11" descr="Percha para abrigos con silueta de iconos">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5457CA-9C30-44AD-8593-7751F74B7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6F7B90" w14:textId="77777777" w:rsidR="00701CB6" w:rsidRDefault="00701CB6" w:rsidP="00701CB6">
      <w:pPr>
        <w:pBdr>
          <w:bottom w:val="single" w:sz="4" w:space="1" w:color="auto"/>
        </w:pBdr>
        <w:jc w:val="both"/>
        <w:rPr>
          <w:sz w:val="18"/>
          <w:szCs w:val="18"/>
        </w:rPr>
      </w:pPr>
    </w:p>
    <w:p w14:paraId="1F46ECC6" w14:textId="556C2438" w:rsidR="00452409" w:rsidRPr="00701CB6" w:rsidRDefault="00452409" w:rsidP="000B53A2">
      <w:pPr>
        <w:jc w:val="both"/>
        <w:rPr>
          <w:b/>
          <w:bCs/>
        </w:rPr>
      </w:pPr>
      <w:r w:rsidRPr="00701CB6">
        <w:rPr>
          <w:b/>
          <w:bCs/>
        </w:rPr>
        <w:t xml:space="preserve">1.6 c) Número de funcionarios/as que accedieron a los procesos  </w:t>
      </w:r>
    </w:p>
    <w:p w14:paraId="7EF6352D" w14:textId="77777777" w:rsidR="00452409" w:rsidRPr="00701CB6" w:rsidRDefault="00452409" w:rsidP="000B53A2">
      <w:pPr>
        <w:jc w:val="both"/>
        <w:rPr>
          <w:color w:val="FF0000"/>
        </w:rPr>
      </w:pPr>
      <w:r w:rsidRPr="00701CB6">
        <w:rPr>
          <w:color w:val="FF0000"/>
        </w:rPr>
        <w:t xml:space="preserve">Información de avance </w:t>
      </w:r>
    </w:p>
    <w:p w14:paraId="633F89DC" w14:textId="7FF8BAA3" w:rsidR="00701CB6" w:rsidRPr="00733143" w:rsidRDefault="00394BB1" w:rsidP="000B53A2">
      <w:pPr>
        <w:jc w:val="both"/>
      </w:pPr>
      <w:r>
        <w:t>Entre los meses de junio 2019 y Julio 2020 se han realizado cinco procesos formativos sistemáticos a nivel de Sector de Justicia e instituciones afines, tales como FGR, PGR, CSJ, MJSP, CNJ, PNC, DGCP, ASAMBLEA LEGISLATIVA, ISDEMU y UTE, recibiendo cincuenta mujeres y veintinueve hombres.</w:t>
      </w:r>
    </w:p>
    <w:p w14:paraId="08FFE8F4" w14:textId="77777777" w:rsidR="00E462BE" w:rsidRDefault="00452409" w:rsidP="000B53A2">
      <w:pPr>
        <w:jc w:val="both"/>
        <w:rPr>
          <w:color w:val="FF0000"/>
        </w:rPr>
      </w:pPr>
      <w:r w:rsidRPr="00701CB6">
        <w:rPr>
          <w:color w:val="FF0000"/>
        </w:rPr>
        <w:t xml:space="preserve">Datos estadísticos </w:t>
      </w:r>
    </w:p>
    <w:p w14:paraId="7BAE8A1F" w14:textId="5C989BDA" w:rsidR="00452409" w:rsidRPr="00E462BE" w:rsidRDefault="00E462BE" w:rsidP="000B53A2">
      <w:pPr>
        <w:jc w:val="both"/>
        <w:rPr>
          <w:color w:val="FF0000"/>
        </w:rPr>
      </w:pPr>
      <w:r>
        <w:rPr>
          <w:noProof/>
          <w:lang w:eastAsia="es-SV"/>
        </w:rPr>
        <w:drawing>
          <wp:inline distT="0" distB="0" distL="0" distR="0" wp14:anchorId="659FD169" wp14:editId="3F319378">
            <wp:extent cx="4572000" cy="2743200"/>
            <wp:effectExtent l="0" t="0" r="0" b="0"/>
            <wp:docPr id="13" name="Gráfico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1E56F6-EBDD-4DA7-AF43-1397B5AB5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52409" w:rsidRPr="00701CB6">
        <w:rPr>
          <w:color w:val="D9D9D9" w:themeColor="background1" w:themeShade="D9"/>
        </w:rPr>
        <w:t xml:space="preserve"> </w:t>
      </w:r>
    </w:p>
    <w:p w14:paraId="71F5C151" w14:textId="77777777" w:rsidR="00452409" w:rsidRPr="00733143" w:rsidRDefault="00452409" w:rsidP="00701CB6">
      <w:pPr>
        <w:pBdr>
          <w:bottom w:val="single" w:sz="4" w:space="1" w:color="auto"/>
        </w:pBdr>
        <w:jc w:val="both"/>
      </w:pPr>
      <w:r w:rsidRPr="00733143">
        <w:t xml:space="preserve"> </w:t>
      </w:r>
    </w:p>
    <w:p w14:paraId="7C063C94" w14:textId="77777777" w:rsidR="00452409" w:rsidRPr="00701CB6" w:rsidRDefault="00452409" w:rsidP="000B53A2">
      <w:pPr>
        <w:jc w:val="both"/>
        <w:rPr>
          <w:b/>
          <w:bCs/>
        </w:rPr>
      </w:pPr>
      <w:r w:rsidRPr="00701CB6">
        <w:rPr>
          <w:b/>
          <w:bCs/>
        </w:rPr>
        <w:t xml:space="preserve">1.6 d) Mecanismos de intercambio, seguimiento y evaluación de los procesos formativos.  </w:t>
      </w:r>
    </w:p>
    <w:p w14:paraId="164EF939" w14:textId="77777777" w:rsidR="00452409" w:rsidRPr="00701CB6" w:rsidRDefault="00452409" w:rsidP="000B53A2">
      <w:pPr>
        <w:jc w:val="both"/>
        <w:rPr>
          <w:color w:val="FF0000"/>
        </w:rPr>
      </w:pPr>
      <w:r w:rsidRPr="00701CB6">
        <w:rPr>
          <w:color w:val="FF0000"/>
        </w:rPr>
        <w:t xml:space="preserve">Información de avance </w:t>
      </w:r>
    </w:p>
    <w:p w14:paraId="231B349D" w14:textId="77777777" w:rsidR="00E462BE" w:rsidRDefault="00E462BE" w:rsidP="000B53A2">
      <w:pPr>
        <w:jc w:val="both"/>
      </w:pPr>
      <w:r w:rsidRPr="008C4E48">
        <w:t>Actualmente no se cuenta con mecanismos de intercambio</w:t>
      </w:r>
      <w:r>
        <w:t>, seguimiento y evaluación de los procesos formativos.</w:t>
      </w:r>
    </w:p>
    <w:p w14:paraId="31ADA58F" w14:textId="65BE240E" w:rsidR="00452409" w:rsidRDefault="00452409" w:rsidP="000B53A2">
      <w:pPr>
        <w:jc w:val="both"/>
        <w:rPr>
          <w:color w:val="FF0000"/>
        </w:rPr>
      </w:pPr>
      <w:r w:rsidRPr="00701CB6">
        <w:rPr>
          <w:color w:val="FF0000"/>
        </w:rPr>
        <w:t xml:space="preserve">Datos estadísticos </w:t>
      </w:r>
    </w:p>
    <w:p w14:paraId="596510AE" w14:textId="28616545" w:rsidR="00452409" w:rsidRPr="00701CB6" w:rsidRDefault="00E462BE" w:rsidP="00265AD3">
      <w:pPr>
        <w:jc w:val="both"/>
        <w:rPr>
          <w:b/>
          <w:bCs/>
        </w:rPr>
      </w:pPr>
      <w:r w:rsidRPr="00E462BE">
        <w:t>n/a</w:t>
      </w:r>
    </w:p>
    <w:p w14:paraId="42B46F5B" w14:textId="22232F97" w:rsidR="0024560B" w:rsidRDefault="00452409" w:rsidP="000B53A2">
      <w:pPr>
        <w:jc w:val="both"/>
        <w:rPr>
          <w:b/>
          <w:bCs/>
        </w:rPr>
      </w:pPr>
      <w:r w:rsidRPr="00701CB6">
        <w:rPr>
          <w:b/>
          <w:bCs/>
        </w:rPr>
        <w:t xml:space="preserve">1.11 Protocolos de actuación para operadores de justicia, (prestadores de servicios) de salud, educadores/as, funcionarios/as públicos/as en relación con las distintas formas de violencia. R7, R8, R10, R11, R12, R15, R27  </w:t>
      </w:r>
    </w:p>
    <w:p w14:paraId="3AE57C76" w14:textId="313E4CB8" w:rsidR="00960F53" w:rsidRDefault="00960F53" w:rsidP="000B53A2">
      <w:pPr>
        <w:jc w:val="both"/>
        <w:rPr>
          <w:b/>
          <w:bCs/>
        </w:rPr>
      </w:pPr>
    </w:p>
    <w:p w14:paraId="3E11FC65" w14:textId="77777777" w:rsidR="00DC0612" w:rsidRPr="00701CB6" w:rsidRDefault="00DC0612" w:rsidP="000B53A2">
      <w:pPr>
        <w:jc w:val="both"/>
        <w:rPr>
          <w:b/>
          <w:bCs/>
        </w:rPr>
      </w:pPr>
    </w:p>
    <w:p w14:paraId="24E1D60E" w14:textId="77777777" w:rsidR="00DC0612" w:rsidRDefault="00DC0612" w:rsidP="000B53A2">
      <w:pPr>
        <w:jc w:val="both"/>
        <w:rPr>
          <w:color w:val="FF0000"/>
          <w:u w:val="single"/>
        </w:rPr>
      </w:pPr>
    </w:p>
    <w:p w14:paraId="65D82CDF" w14:textId="62A9BDC3" w:rsidR="00DC0612" w:rsidRPr="00DC0612" w:rsidRDefault="000B53A2" w:rsidP="00DC0612">
      <w:pPr>
        <w:pBdr>
          <w:top w:val="single" w:sz="4" w:space="1" w:color="auto"/>
        </w:pBdr>
        <w:jc w:val="both"/>
        <w:rPr>
          <w:color w:val="FF0000"/>
          <w:u w:val="single"/>
        </w:rPr>
      </w:pPr>
      <w:r w:rsidRPr="00DC0612">
        <w:rPr>
          <w:color w:val="FF0000"/>
          <w:u w:val="single"/>
        </w:rPr>
        <w:t xml:space="preserve">Información de avance </w:t>
      </w:r>
    </w:p>
    <w:p w14:paraId="580A6817" w14:textId="32771AFD" w:rsidR="00AB053E" w:rsidRDefault="00AB053E" w:rsidP="00AB053E">
      <w:pPr>
        <w:jc w:val="both"/>
      </w:pPr>
      <w:r>
        <w:t>"P</w:t>
      </w:r>
      <w:r w:rsidRPr="00FC35FA">
        <w:t xml:space="preserve">rotocolo interinstitucional para una atención libre de victimización secundaria hacia las </w:t>
      </w:r>
      <w:r>
        <w:t>M</w:t>
      </w:r>
      <w:r w:rsidRPr="00FC35FA">
        <w:t>ujeres</w:t>
      </w:r>
      <w:r>
        <w:t>" este protocolo se realizó con el personal</w:t>
      </w:r>
      <w:r w:rsidRPr="00FC35FA">
        <w:t xml:space="preserve"> de las Unidades Institucionales de Atención Especializada para las Mujeres</w:t>
      </w:r>
      <w:r>
        <w:t xml:space="preserve"> de FGR, PGR, MJSP, CSJ, CNJ, PNC, DGCP MINSAL, PDDH IML e ISDEMU;</w:t>
      </w:r>
      <w:r w:rsidRPr="00FC35FA">
        <w:t xml:space="preserve"> se llevaron a cabo</w:t>
      </w:r>
      <w:r>
        <w:t xml:space="preserve"> talleres</w:t>
      </w:r>
      <w:r w:rsidRPr="00FC35FA">
        <w:t xml:space="preserve"> en las zonas central, paracentral, occidental y oriental del país</w:t>
      </w:r>
      <w:r>
        <w:t>; este Protocolo fue aprobado por la Dirección General de la UTE y autorizado por la Comisión Coordinadora del Sector de Justicia para su aplicación en las UIAEM.</w:t>
      </w:r>
    </w:p>
    <w:p w14:paraId="22483098" w14:textId="6F5F6313" w:rsidR="00AB053E" w:rsidRDefault="00AB053E" w:rsidP="00AB053E">
      <w:pPr>
        <w:jc w:val="both"/>
      </w:pPr>
      <w:r w:rsidRPr="00E65838">
        <w:t xml:space="preserve">"Lineamientos interinstitucionales para procesos de </w:t>
      </w:r>
      <w:proofErr w:type="spellStart"/>
      <w:r w:rsidRPr="00E65838">
        <w:t>autocuido</w:t>
      </w:r>
      <w:proofErr w:type="spellEnd"/>
      <w:r w:rsidRPr="00E65838">
        <w:t xml:space="preserve"> en las instituciones"</w:t>
      </w:r>
      <w:r>
        <w:t>, se elaboraron con la participación de instituciones del Sector de Justicia e instituciones (</w:t>
      </w:r>
      <w:r w:rsidRPr="00703D4A">
        <w:t>FGR, PGR, MJSP, CSJ, CNJ, PNC, DGCP</w:t>
      </w:r>
      <w:r>
        <w:t>,</w:t>
      </w:r>
      <w:r w:rsidRPr="00703D4A">
        <w:t xml:space="preserve"> MINSAL, PDDH IML</w:t>
      </w:r>
      <w:r>
        <w:t>,</w:t>
      </w:r>
      <w:r w:rsidRPr="00703D4A">
        <w:t xml:space="preserve"> ISDEMU</w:t>
      </w:r>
      <w:r>
        <w:t xml:space="preserve"> y UTE); pendiente de presentar para su autorización de implementación ante la Comisión Coordinadora del Sector de Justicia.</w:t>
      </w:r>
    </w:p>
    <w:p w14:paraId="4D1F1A26" w14:textId="0E6F2225" w:rsidR="00E05BF2" w:rsidRDefault="00E05BF2" w:rsidP="00E05BF2">
      <w:pPr>
        <w:jc w:val="both"/>
      </w:pPr>
      <w:r w:rsidRPr="0097453E">
        <w:t>"Protocolo de atención a personas con discapacidad con enfoque de Derechos Humanos"</w:t>
      </w:r>
      <w:r>
        <w:t>, se elaboró a través de talleres de consulta con las personas servidoras públicas del Sector de Justicia e instituciones afines tales como FGR, PGR, CSJ, CNJ, MJSP, PNC, CONAIPD, se ha impreso</w:t>
      </w:r>
      <w:r w:rsidRPr="002F4E0B">
        <w:t xml:space="preserve"> 45 ejemplares de dicho Protocolo de atención, en sistema braille</w:t>
      </w:r>
      <w:r>
        <w:t xml:space="preserve"> y 3,000 </w:t>
      </w:r>
      <w:r w:rsidRPr="004D0FAF">
        <w:t>ejemplares</w:t>
      </w:r>
      <w:r>
        <w:t xml:space="preserve"> para las instituciones involucradas.</w:t>
      </w:r>
      <w:r w:rsidRPr="004D0FAF">
        <w:t xml:space="preserve"> </w:t>
      </w:r>
    </w:p>
    <w:p w14:paraId="22DBBB36" w14:textId="244C6CD6" w:rsidR="00DC0612" w:rsidRDefault="000B53A2" w:rsidP="000B53A2">
      <w:pPr>
        <w:jc w:val="both"/>
        <w:rPr>
          <w:color w:val="FF0000"/>
          <w:u w:val="single"/>
        </w:rPr>
      </w:pPr>
      <w:r w:rsidRPr="00DC0612">
        <w:rPr>
          <w:color w:val="FF0000"/>
          <w:u w:val="single"/>
        </w:rPr>
        <w:t xml:space="preserve">Datos estadísticos </w:t>
      </w:r>
    </w:p>
    <w:p w14:paraId="6D0ABE63" w14:textId="27C4D3A0" w:rsidR="00960F53" w:rsidRDefault="000C5164" w:rsidP="000B53A2">
      <w:pPr>
        <w:jc w:val="both"/>
      </w:pPr>
      <w:r>
        <w:rPr>
          <w:noProof/>
          <w:lang w:eastAsia="es-SV"/>
        </w:rPr>
        <w:drawing>
          <wp:inline distT="0" distB="0" distL="0" distR="0" wp14:anchorId="29ED321E" wp14:editId="0BA87DDF">
            <wp:extent cx="4572000" cy="2743200"/>
            <wp:effectExtent l="0" t="0" r="0" b="0"/>
            <wp:docPr id="12" name="Gráfico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C20C25-DEE1-41A8-B410-68880B06B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F77B44" w14:textId="6540A6E2" w:rsidR="000C5164" w:rsidRDefault="000C5164" w:rsidP="000B53A2">
      <w:pPr>
        <w:jc w:val="both"/>
      </w:pPr>
    </w:p>
    <w:p w14:paraId="7C4F1B5E" w14:textId="3334D974" w:rsidR="000C5164" w:rsidRDefault="000C5164" w:rsidP="000B53A2">
      <w:pPr>
        <w:jc w:val="both"/>
      </w:pPr>
      <w:r>
        <w:rPr>
          <w:noProof/>
          <w:lang w:eastAsia="es-SV"/>
        </w:rPr>
        <w:drawing>
          <wp:inline distT="0" distB="0" distL="0" distR="0" wp14:anchorId="1DBC70D4" wp14:editId="61413B4D">
            <wp:extent cx="4572000" cy="2743200"/>
            <wp:effectExtent l="0" t="0" r="0" b="0"/>
            <wp:docPr id="14" name="Gráfico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2CAB88-F51B-4EED-834B-A7148399B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86FF9A" w14:textId="268AFB03" w:rsidR="000C5164" w:rsidRDefault="000C5164" w:rsidP="000B53A2">
      <w:pPr>
        <w:jc w:val="both"/>
      </w:pPr>
    </w:p>
    <w:p w14:paraId="3CCC5F15" w14:textId="773DECF0" w:rsidR="000C5164" w:rsidRDefault="000C5164" w:rsidP="000B53A2">
      <w:pPr>
        <w:jc w:val="both"/>
      </w:pPr>
      <w:r>
        <w:rPr>
          <w:noProof/>
          <w:lang w:eastAsia="es-SV"/>
        </w:rPr>
        <w:drawing>
          <wp:inline distT="0" distB="0" distL="0" distR="0" wp14:anchorId="1DB7A4DB" wp14:editId="293C2E2A">
            <wp:extent cx="4572000" cy="2743200"/>
            <wp:effectExtent l="0" t="0" r="0" b="0"/>
            <wp:docPr id="16" name="Gráfico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2778BF-34C0-4079-8EDF-7D34715A1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AFC895" w14:textId="77777777" w:rsidR="00960F53" w:rsidRDefault="00960F53" w:rsidP="00960F53">
      <w:pPr>
        <w:pBdr>
          <w:bottom w:val="single" w:sz="4" w:space="1" w:color="auto"/>
        </w:pBdr>
        <w:jc w:val="both"/>
      </w:pPr>
    </w:p>
    <w:p w14:paraId="00F5536A" w14:textId="77777777" w:rsidR="004F7C3D" w:rsidRPr="004F7C3D" w:rsidRDefault="000B53A2" w:rsidP="000B53A2">
      <w:pPr>
        <w:jc w:val="both"/>
        <w:rPr>
          <w:b/>
          <w:bCs/>
        </w:rPr>
      </w:pPr>
      <w:r w:rsidRPr="004F7C3D">
        <w:rPr>
          <w:b/>
          <w:bCs/>
        </w:rPr>
        <w:t xml:space="preserve">1.16 Informes de monitoreo del conocimiento, comprensión y aplicación de protocolos y reglamentos específicos en materia de derechos de las mujeres, como parte de evaluaciones periódicas para acceder a incentivos, créditos, escalafones (sectores justicia, salud, educación). R18, R20 </w:t>
      </w:r>
    </w:p>
    <w:p w14:paraId="1538226F" w14:textId="77777777" w:rsidR="004F7C3D" w:rsidRDefault="000B53A2" w:rsidP="000B53A2">
      <w:pPr>
        <w:jc w:val="both"/>
      </w:pPr>
      <w:r w:rsidRPr="004F7C3D">
        <w:rPr>
          <w:color w:val="FF0000"/>
        </w:rPr>
        <w:t>Información de avance</w:t>
      </w:r>
      <w:r w:rsidRPr="00733143">
        <w:t xml:space="preserve"> </w:t>
      </w:r>
    </w:p>
    <w:p w14:paraId="22B7643E" w14:textId="587D9911" w:rsidR="000C5164" w:rsidRDefault="000C5164" w:rsidP="000B53A2">
      <w:pPr>
        <w:jc w:val="both"/>
      </w:pPr>
      <w:r>
        <w:t xml:space="preserve">El </w:t>
      </w:r>
      <w:r w:rsidRPr="0097453E">
        <w:t xml:space="preserve">"Protocolo interinstitucional para una atención libre de victimización secundaria hacia las Mujeres" </w:t>
      </w:r>
      <w:r>
        <w:t>en este año 2020 en el mes de junio, hemos obtenido la autorización por parte de la Comisión Coordinadora del Sector de Justicia para su aplicación en las Unidades Institucionales de Atención Especializada para la Mujeres UIAEM</w:t>
      </w:r>
      <w:r w:rsidR="00E05BF2">
        <w:t>.</w:t>
      </w:r>
    </w:p>
    <w:p w14:paraId="37442139" w14:textId="64120785" w:rsidR="004F7C3D" w:rsidRPr="004F7C3D" w:rsidRDefault="000B53A2" w:rsidP="000B53A2">
      <w:pPr>
        <w:jc w:val="both"/>
        <w:rPr>
          <w:color w:val="FF0000"/>
        </w:rPr>
      </w:pPr>
      <w:r w:rsidRPr="004F7C3D">
        <w:rPr>
          <w:color w:val="FF0000"/>
        </w:rPr>
        <w:t>Datos estadísticos</w:t>
      </w:r>
    </w:p>
    <w:p w14:paraId="403E1A97" w14:textId="258681BA" w:rsidR="004F7C3D" w:rsidRPr="000C5164" w:rsidRDefault="000C5164" w:rsidP="000B53A2">
      <w:pPr>
        <w:jc w:val="both"/>
      </w:pPr>
      <w:r w:rsidRPr="000C5164">
        <w:t>n/a</w:t>
      </w:r>
      <w:r w:rsidR="000B53A2" w:rsidRPr="000C5164">
        <w:t xml:space="preserve">. </w:t>
      </w:r>
    </w:p>
    <w:p w14:paraId="4DA17CD8" w14:textId="77777777" w:rsidR="004F7C3D" w:rsidRDefault="004F7C3D" w:rsidP="004F7C3D">
      <w:pPr>
        <w:pBdr>
          <w:bottom w:val="single" w:sz="4" w:space="1" w:color="auto"/>
        </w:pBdr>
        <w:jc w:val="both"/>
      </w:pPr>
    </w:p>
    <w:p w14:paraId="7D73B39A" w14:textId="3E4A7DA4" w:rsidR="001E4329" w:rsidRDefault="000B53A2" w:rsidP="001E4329">
      <w:pPr>
        <w:jc w:val="center"/>
        <w:rPr>
          <w:b/>
          <w:bCs/>
          <w:color w:val="4472C4" w:themeColor="accent1"/>
        </w:rPr>
      </w:pPr>
      <w:r w:rsidRPr="001E4329">
        <w:rPr>
          <w:b/>
          <w:bCs/>
          <w:color w:val="4472C4" w:themeColor="accent1"/>
        </w:rPr>
        <w:t>Indicadores del Módulo 2:</w:t>
      </w:r>
      <w:r w:rsidR="001E4329">
        <w:rPr>
          <w:b/>
          <w:bCs/>
          <w:color w:val="4472C4" w:themeColor="accent1"/>
        </w:rPr>
        <w:t xml:space="preserve"> </w:t>
      </w:r>
      <w:r w:rsidRPr="001E4329">
        <w:rPr>
          <w:b/>
          <w:bCs/>
          <w:color w:val="4472C4" w:themeColor="accent1"/>
        </w:rPr>
        <w:t xml:space="preserve">Planes Nacionales </w:t>
      </w:r>
    </w:p>
    <w:p w14:paraId="78EB1059" w14:textId="5ABE1B4C" w:rsidR="001E4329" w:rsidRPr="001E4329" w:rsidRDefault="000B53A2" w:rsidP="001E4329">
      <w:pPr>
        <w:jc w:val="both"/>
      </w:pPr>
      <w:r w:rsidRPr="001E4329">
        <w:rPr>
          <w:b/>
          <w:bCs/>
        </w:rPr>
        <w:t xml:space="preserve">Nota: </w:t>
      </w:r>
      <w:r w:rsidRPr="001E4329">
        <w:t xml:space="preserve">los indicadores del módulo2 se encuentran en las páginas de la 54-64 de la Guía Práctica para la Aplicación del Sistema de Indicadores de Progreso para la medición de la Implementación de la Convención de Belém do Pará </w:t>
      </w:r>
    </w:p>
    <w:p w14:paraId="490C998D" w14:textId="77777777" w:rsidR="001E4329" w:rsidRPr="001E4329" w:rsidRDefault="001E4329" w:rsidP="001E4329">
      <w:pPr>
        <w:pBdr>
          <w:bottom w:val="single" w:sz="4" w:space="1" w:color="auto"/>
        </w:pBdr>
        <w:jc w:val="both"/>
      </w:pPr>
    </w:p>
    <w:p w14:paraId="4C824623" w14:textId="77777777" w:rsidR="003A1E50" w:rsidRDefault="000B53A2" w:rsidP="000B53A2">
      <w:pPr>
        <w:jc w:val="both"/>
      </w:pPr>
      <w:r w:rsidRPr="003A1E50">
        <w:rPr>
          <w:b/>
          <w:bCs/>
        </w:rPr>
        <w:t>2.1 Plan nacional, política, acción, estrategia para la prevención, atención y erradicación de la violencia contra las niñas y adolescentes, mujeres adultas y adultas mayores en sus diversas manifestaciones. Alcance y características considerando niñas y adolescentes, mujeres adultas y adultas mayores de diversidad étnica, afrodescendientes, rurales, con discapacidades, con opciones sexuales diversas, por su orientación sexual, por su identidad de género, en situación de migrantes, refugiadas, desplazadas o privadas de la libertad. R17</w:t>
      </w:r>
      <w:r w:rsidRPr="00733143">
        <w:t xml:space="preserve"> </w:t>
      </w:r>
    </w:p>
    <w:p w14:paraId="1813E017" w14:textId="77777777" w:rsidR="003A1E50" w:rsidRDefault="003A1E50" w:rsidP="000B53A2">
      <w:pPr>
        <w:jc w:val="both"/>
      </w:pPr>
    </w:p>
    <w:p w14:paraId="7029FCBB" w14:textId="77777777" w:rsidR="003A1E50" w:rsidRDefault="000B53A2" w:rsidP="000B53A2">
      <w:pPr>
        <w:jc w:val="both"/>
      </w:pPr>
      <w:r w:rsidRPr="003A1E50">
        <w:rPr>
          <w:color w:val="FF0000"/>
        </w:rPr>
        <w:t>Información de avance</w:t>
      </w:r>
      <w:r w:rsidRPr="003A1E50">
        <w:t xml:space="preserve"> </w:t>
      </w:r>
    </w:p>
    <w:p w14:paraId="0C08700C" w14:textId="718DD0F3" w:rsidR="00C317EB" w:rsidRDefault="00C152B2" w:rsidP="000B53A2">
      <w:pPr>
        <w:jc w:val="both"/>
      </w:pPr>
      <w:r w:rsidRPr="00733143">
        <w:t xml:space="preserve"> </w:t>
      </w:r>
      <w:r w:rsidR="00E05BF2" w:rsidRPr="00E05BF2">
        <w:t xml:space="preserve">“Política Institucional de Igualdad y no Discriminación de la UTE”, se elaboró con el apoyo de todas las personas servidoras públicas de la UTE, a </w:t>
      </w:r>
      <w:proofErr w:type="spellStart"/>
      <w:r w:rsidR="00E05BF2" w:rsidRPr="00E05BF2">
        <w:t>traves</w:t>
      </w:r>
      <w:proofErr w:type="spellEnd"/>
      <w:r w:rsidR="00E05BF2" w:rsidRPr="00E05BF2">
        <w:t xml:space="preserve"> de talleres grupos focales, entrevista, cuestionario y tomando de base el Diagnostico de la situación de las servidoras </w:t>
      </w:r>
      <w:proofErr w:type="spellStart"/>
      <w:r w:rsidR="00E05BF2" w:rsidRPr="00E05BF2">
        <w:t>pu</w:t>
      </w:r>
      <w:bookmarkStart w:id="0" w:name="_GoBack"/>
      <w:bookmarkEnd w:id="0"/>
      <w:r w:rsidR="00E05BF2" w:rsidRPr="00E05BF2">
        <w:t>blicas</w:t>
      </w:r>
      <w:proofErr w:type="spellEnd"/>
      <w:r w:rsidR="00E05BF2" w:rsidRPr="00E05BF2">
        <w:t xml:space="preserve"> de la UTE, que se realizó en el año 2018; fue validada por la Dirección General de la UTE y en junio de 2020 aprobada por la Comisión Coordinadora del Sector de Justicia.</w:t>
      </w:r>
    </w:p>
    <w:p w14:paraId="1D0A0EA1" w14:textId="6895DC82" w:rsidR="00C317EB" w:rsidRDefault="00C152B2" w:rsidP="000B53A2">
      <w:pPr>
        <w:jc w:val="both"/>
        <w:rPr>
          <w:color w:val="FF0000"/>
        </w:rPr>
      </w:pPr>
      <w:r w:rsidRPr="00C317EB">
        <w:rPr>
          <w:color w:val="FF0000"/>
        </w:rPr>
        <w:t xml:space="preserve">Datos estadísticos </w:t>
      </w:r>
    </w:p>
    <w:p w14:paraId="58394629" w14:textId="27E02E86" w:rsidR="00E05BF2" w:rsidRDefault="00970CF8" w:rsidP="000B53A2">
      <w:pPr>
        <w:jc w:val="both"/>
        <w:rPr>
          <w:color w:val="FF0000"/>
        </w:rPr>
      </w:pPr>
      <w:r>
        <w:rPr>
          <w:noProof/>
          <w:lang w:eastAsia="es-SV"/>
        </w:rPr>
        <w:drawing>
          <wp:inline distT="0" distB="0" distL="0" distR="0" wp14:anchorId="5E659349" wp14:editId="79D031BB">
            <wp:extent cx="4572000" cy="2743200"/>
            <wp:effectExtent l="0" t="0" r="0" b="0"/>
            <wp:docPr id="17" name="Gráfico 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8C1F32-584B-4AB4-ABD7-2AE1B02EE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3550CA" w14:textId="77777777" w:rsidR="00E05BF2" w:rsidRPr="00C317EB" w:rsidRDefault="00E05BF2" w:rsidP="000B53A2">
      <w:pPr>
        <w:jc w:val="both"/>
        <w:rPr>
          <w:color w:val="FF0000"/>
        </w:rPr>
      </w:pPr>
    </w:p>
    <w:p w14:paraId="0A9D8B79" w14:textId="77777777" w:rsidR="00C317EB" w:rsidRDefault="00C317EB" w:rsidP="00C317EB">
      <w:pPr>
        <w:pBdr>
          <w:top w:val="single" w:sz="4" w:space="1" w:color="auto"/>
        </w:pBdr>
        <w:jc w:val="both"/>
        <w:rPr>
          <w:b/>
          <w:bCs/>
        </w:rPr>
      </w:pPr>
    </w:p>
    <w:p w14:paraId="0F603CAD" w14:textId="5FB05444" w:rsidR="00C317EB" w:rsidRPr="00C317EB" w:rsidRDefault="00C152B2" w:rsidP="000B53A2">
      <w:pPr>
        <w:jc w:val="both"/>
        <w:rPr>
          <w:b/>
          <w:bCs/>
        </w:rPr>
      </w:pPr>
      <w:r w:rsidRPr="00C317EB">
        <w:rPr>
          <w:b/>
          <w:bCs/>
        </w:rPr>
        <w:t xml:space="preserve">2.5 Número y características de organizaciones de la sociedad civil que participan en la promoción y la protección del derecho a una vida libre de violencia, teniendo en cuenta en particular las organizaciones involucradas con las niñas y adolescentes, mujeres adultas y adultas mayores indígenas, afrodescendientes, rurales, con discapacidad, con diferentes preferencias sexuales, por su identidad de género, los migrantes, los refugiados, las personas desplazadas o privadas de su libertad. Indicar formas y tipo de participación. R20 </w:t>
      </w:r>
    </w:p>
    <w:p w14:paraId="191542CC" w14:textId="77777777" w:rsidR="00C317EB" w:rsidRDefault="00C317EB" w:rsidP="000B53A2">
      <w:pPr>
        <w:jc w:val="both"/>
      </w:pPr>
    </w:p>
    <w:p w14:paraId="54EB1D7C" w14:textId="77777777" w:rsidR="00C317EB" w:rsidRPr="00C317EB" w:rsidRDefault="00C152B2" w:rsidP="000B53A2">
      <w:pPr>
        <w:jc w:val="both"/>
        <w:rPr>
          <w:color w:val="FF0000"/>
        </w:rPr>
      </w:pPr>
      <w:r w:rsidRPr="00C317EB">
        <w:rPr>
          <w:color w:val="FF0000"/>
        </w:rPr>
        <w:t xml:space="preserve">Información de avance </w:t>
      </w:r>
    </w:p>
    <w:p w14:paraId="5A27FD55" w14:textId="77777777" w:rsidR="00FD6728" w:rsidRDefault="00FD6728" w:rsidP="000B53A2">
      <w:pPr>
        <w:jc w:val="both"/>
      </w:pPr>
      <w:r w:rsidRPr="00BF2B89">
        <w:t>Se desarrollaron talleres de consulta con</w:t>
      </w:r>
      <w:r>
        <w:t xml:space="preserve"> </w:t>
      </w:r>
      <w:r w:rsidRPr="007304C0">
        <w:t xml:space="preserve">personas organizadas y no organizadas, con discapacidad </w:t>
      </w:r>
      <w:r w:rsidRPr="00BF2B89">
        <w:t xml:space="preserve"> </w:t>
      </w:r>
      <w:r>
        <w:t xml:space="preserve"> para recolección de información, para la elaboración del </w:t>
      </w:r>
      <w:bookmarkStart w:id="1" w:name="_Hlk47708747"/>
      <w:r>
        <w:t>"</w:t>
      </w:r>
      <w:r w:rsidRPr="007304C0">
        <w:t>Protocolo de atención a Personas con Discapacidad en las instituciones del Sector de Justicia de El Salvador</w:t>
      </w:r>
      <w:r>
        <w:t>"</w:t>
      </w:r>
      <w:bookmarkEnd w:id="1"/>
      <w:r>
        <w:t xml:space="preserve">, este Protocolo fue validado con </w:t>
      </w:r>
      <w:r w:rsidRPr="00F5732D">
        <w:t>personas organizadas y no organizadas, con discapacidad</w:t>
      </w:r>
      <w:r>
        <w:t>, revisado por la Dirección General y aprobado por la Comisión Coordinadora del Sector de Justicia en el mes de julio de 2020.</w:t>
      </w:r>
      <w:r w:rsidRPr="00BF2B89">
        <w:t xml:space="preserve"> </w:t>
      </w:r>
    </w:p>
    <w:p w14:paraId="682718CB" w14:textId="02F3B308" w:rsidR="00C317EB" w:rsidRPr="00C317EB" w:rsidRDefault="00C152B2" w:rsidP="000B53A2">
      <w:pPr>
        <w:jc w:val="both"/>
        <w:rPr>
          <w:color w:val="FF0000"/>
        </w:rPr>
      </w:pPr>
      <w:r w:rsidRPr="00C317EB">
        <w:rPr>
          <w:color w:val="FF0000"/>
        </w:rPr>
        <w:t xml:space="preserve">Datos estadísticos </w:t>
      </w:r>
    </w:p>
    <w:p w14:paraId="1281C943" w14:textId="3160C30A" w:rsidR="006458D5" w:rsidRPr="00C317EB" w:rsidRDefault="00C152B2" w:rsidP="000B53A2">
      <w:pPr>
        <w:jc w:val="both"/>
        <w:rPr>
          <w:color w:val="D9D9D9" w:themeColor="background1" w:themeShade="D9"/>
        </w:rPr>
      </w:pPr>
      <w:r w:rsidRPr="00C317EB">
        <w:rPr>
          <w:color w:val="D9D9D9" w:themeColor="background1" w:themeShade="D9"/>
        </w:rPr>
        <w:t>Haga clic o pulse aquí para ingresar datos estadísticos.</w:t>
      </w:r>
    </w:p>
    <w:p w14:paraId="0B0C9823" w14:textId="77777777" w:rsidR="00C317EB" w:rsidRDefault="00C317EB" w:rsidP="000B53A2">
      <w:pPr>
        <w:jc w:val="both"/>
        <w:rPr>
          <w:b/>
          <w:bCs/>
        </w:rPr>
      </w:pPr>
    </w:p>
    <w:p w14:paraId="7DD3D21F" w14:textId="77777777" w:rsidR="00C317EB" w:rsidRDefault="00C317EB" w:rsidP="00A24A99">
      <w:pPr>
        <w:pBdr>
          <w:top w:val="single" w:sz="4" w:space="1" w:color="auto"/>
        </w:pBdr>
        <w:jc w:val="both"/>
        <w:rPr>
          <w:b/>
          <w:bCs/>
        </w:rPr>
      </w:pPr>
    </w:p>
    <w:p w14:paraId="230A0FAE" w14:textId="77777777" w:rsidR="00C317EB" w:rsidRDefault="00C152B2" w:rsidP="00A24A99">
      <w:pPr>
        <w:jc w:val="both"/>
        <w:rPr>
          <w:b/>
          <w:bCs/>
        </w:rPr>
      </w:pPr>
      <w:r w:rsidRPr="00C317EB">
        <w:rPr>
          <w:b/>
          <w:bCs/>
        </w:rPr>
        <w:t xml:space="preserve">2.15 Características, cobertura y periodicidad de campañas de difusión contra el acoso sexual. R32 </w:t>
      </w:r>
    </w:p>
    <w:p w14:paraId="5C32143E" w14:textId="77777777" w:rsidR="00C317EB" w:rsidRPr="00C317EB" w:rsidRDefault="00C152B2" w:rsidP="00A24A99">
      <w:pPr>
        <w:jc w:val="both"/>
        <w:rPr>
          <w:color w:val="FF0000"/>
        </w:rPr>
      </w:pPr>
      <w:r w:rsidRPr="00C317EB">
        <w:rPr>
          <w:color w:val="FF0000"/>
        </w:rPr>
        <w:t xml:space="preserve">Información de avance </w:t>
      </w:r>
    </w:p>
    <w:p w14:paraId="4D320CE7" w14:textId="372AA1AC" w:rsidR="00524E02" w:rsidRDefault="00524E02" w:rsidP="00524E02">
      <w:pPr>
        <w:jc w:val="both"/>
      </w:pPr>
      <w:r>
        <w:t>D</w:t>
      </w:r>
      <w:r w:rsidRPr="00CC376E">
        <w:t xml:space="preserve">esarrollo </w:t>
      </w:r>
      <w:r>
        <w:t xml:space="preserve">de </w:t>
      </w:r>
      <w:r w:rsidRPr="00E52692">
        <w:t xml:space="preserve">la Campaña comunicacional para redes sociales “Libre de Violencia en la Emergencia”, </w:t>
      </w:r>
      <w:r>
        <w:t>así como</w:t>
      </w:r>
      <w:r w:rsidRPr="00CC376E">
        <w:t xml:space="preserve"> de los servicios ofrecidos en las Unidades Institucionales de Atención Especializada para las Mujeres (UIAEM), en materia de atención a las mujeres que enfrentan violencia.</w:t>
      </w:r>
    </w:p>
    <w:p w14:paraId="46F6C3F1" w14:textId="6EF8C759" w:rsidR="00524E02" w:rsidRDefault="00524E02" w:rsidP="00524E02">
      <w:pPr>
        <w:jc w:val="both"/>
      </w:pPr>
      <w:r>
        <w:t>S</w:t>
      </w:r>
      <w:r w:rsidRPr="00E52692">
        <w:t>e produjeron 7 mensajes, a los que corresponden 7 post y que fueron pautados a lo largo de 2 semanas. Adicionalmente, como parte del PILAR 1 se ha diseñado una táctica encubierta exclusiva para WhatsApp que busca la viralización de tres imágenes de mascotas, a través de perfiles</w:t>
      </w:r>
      <w:r>
        <w:t xml:space="preserve">, </w:t>
      </w:r>
      <w:r w:rsidR="00952575">
        <w:t>asimismo se produjo un</w:t>
      </w:r>
      <w:r w:rsidR="00952575" w:rsidRPr="000E5948">
        <w:t xml:space="preserve"> vídeo publicado</w:t>
      </w:r>
      <w:r w:rsidR="00952575">
        <w:t xml:space="preserve"> en este año 2020</w:t>
      </w:r>
      <w:r w:rsidR="00952575" w:rsidRPr="000E5948">
        <w:t xml:space="preserve"> en la página de Facebook sobre los pasos a seguir en caso las mujeres enfrenten una situación de violencia, tuvo más de 105 mil (105,125) reproducciones y fue compartido más de 550 veces por otros usuarios. Tuvo más de 2,000 reacciones positivas. </w:t>
      </w:r>
      <w:r w:rsidR="00952575" w:rsidRPr="00E52692">
        <w:t xml:space="preserve"> personales (dirigidos a mujeres que enfrentan violencia basada en su género y que están muy controladas por un agresor). Finalmente y luego de ejecutada la FASE 1 de la campaña se estima un alcance promedio entre 1.2 a 1.5 millones de mujeres en total.</w:t>
      </w:r>
    </w:p>
    <w:p w14:paraId="41AFB9A8" w14:textId="4889D38F" w:rsidR="00C317EB" w:rsidRDefault="00C152B2" w:rsidP="00524E02">
      <w:pPr>
        <w:jc w:val="both"/>
        <w:rPr>
          <w:color w:val="FF0000"/>
        </w:rPr>
      </w:pPr>
      <w:r w:rsidRPr="00C317EB">
        <w:rPr>
          <w:color w:val="FF0000"/>
        </w:rPr>
        <w:t xml:space="preserve">Datos estadísticos </w:t>
      </w:r>
    </w:p>
    <w:p w14:paraId="6A85E98A" w14:textId="6D87E62A" w:rsidR="00952575" w:rsidRPr="00C317EB" w:rsidRDefault="00952575" w:rsidP="00524E02">
      <w:pPr>
        <w:jc w:val="both"/>
        <w:rPr>
          <w:color w:val="FF0000"/>
        </w:rPr>
      </w:pPr>
      <w:r w:rsidRPr="00E52692">
        <w:rPr>
          <w:rFonts w:ascii="Times New Roman" w:eastAsia="Times New Roman" w:hAnsi="Times New Roman" w:cs="Times New Roman"/>
          <w:noProof/>
          <w:sz w:val="24"/>
          <w:szCs w:val="24"/>
          <w:lang w:eastAsia="es-SV"/>
        </w:rPr>
        <w:drawing>
          <wp:inline distT="0" distB="0" distL="0" distR="0" wp14:anchorId="1195B87F" wp14:editId="37D38E85">
            <wp:extent cx="2945765" cy="1426464"/>
            <wp:effectExtent l="0" t="0" r="698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820" t="39382" r="24660" b="12895"/>
                    <a:stretch/>
                  </pic:blipFill>
                  <pic:spPr bwMode="auto">
                    <a:xfrm>
                      <a:off x="0" y="0"/>
                      <a:ext cx="2947521" cy="1427314"/>
                    </a:xfrm>
                    <a:prstGeom prst="rect">
                      <a:avLst/>
                    </a:prstGeom>
                    <a:ln>
                      <a:noFill/>
                    </a:ln>
                    <a:extLst>
                      <a:ext uri="{53640926-AAD7-44D8-BBD7-CCE9431645EC}">
                        <a14:shadowObscured xmlns:a14="http://schemas.microsoft.com/office/drawing/2010/main"/>
                      </a:ext>
                    </a:extLst>
                  </pic:spPr>
                </pic:pic>
              </a:graphicData>
            </a:graphic>
          </wp:inline>
        </w:drawing>
      </w:r>
    </w:p>
    <w:p w14:paraId="6ADE6B32" w14:textId="24ABB4F9" w:rsidR="00C317EB" w:rsidRDefault="00C317EB" w:rsidP="00A24A99">
      <w:pPr>
        <w:pBdr>
          <w:top w:val="single" w:sz="4" w:space="1" w:color="auto"/>
        </w:pBdr>
        <w:jc w:val="both"/>
        <w:rPr>
          <w:b/>
          <w:bCs/>
        </w:rPr>
      </w:pPr>
    </w:p>
    <w:p w14:paraId="3D23BDBF" w14:textId="199B0368" w:rsidR="00C317EB" w:rsidRPr="00C317EB" w:rsidRDefault="00C152B2" w:rsidP="00A24A99">
      <w:pPr>
        <w:jc w:val="both"/>
        <w:rPr>
          <w:b/>
          <w:bCs/>
        </w:rPr>
      </w:pPr>
      <w:r w:rsidRPr="00C317EB">
        <w:rPr>
          <w:b/>
          <w:bCs/>
        </w:rPr>
        <w:t xml:space="preserve">2.16 Porcentaje del gasto público social destinado a garantizar una vida sin violencia R36 </w:t>
      </w:r>
    </w:p>
    <w:p w14:paraId="0ECE8290" w14:textId="77777777" w:rsidR="00C317EB" w:rsidRPr="00C317EB" w:rsidRDefault="00C152B2" w:rsidP="000B53A2">
      <w:pPr>
        <w:jc w:val="both"/>
        <w:rPr>
          <w:b/>
          <w:bCs/>
        </w:rPr>
      </w:pPr>
      <w:r w:rsidRPr="00C317EB">
        <w:rPr>
          <w:b/>
          <w:bCs/>
        </w:rPr>
        <w:t xml:space="preserve">2.16 a) Acciones, planes, estrategias y programas de violencia </w:t>
      </w:r>
    </w:p>
    <w:p w14:paraId="24F009E5" w14:textId="77777777" w:rsidR="00C317EB" w:rsidRDefault="00C317EB" w:rsidP="000B53A2">
      <w:pPr>
        <w:jc w:val="both"/>
      </w:pPr>
    </w:p>
    <w:p w14:paraId="6980B6A5" w14:textId="77777777" w:rsidR="00C317EB" w:rsidRPr="00C317EB" w:rsidRDefault="00C152B2" w:rsidP="000B53A2">
      <w:pPr>
        <w:jc w:val="both"/>
        <w:rPr>
          <w:color w:val="FF0000"/>
        </w:rPr>
      </w:pPr>
      <w:r w:rsidRPr="00C317EB">
        <w:rPr>
          <w:color w:val="FF0000"/>
        </w:rPr>
        <w:t xml:space="preserve">Información de avance </w:t>
      </w:r>
    </w:p>
    <w:p w14:paraId="2FBAE850" w14:textId="77777777" w:rsidR="000C5EC8" w:rsidRDefault="000C5EC8" w:rsidP="000B53A2">
      <w:pPr>
        <w:jc w:val="both"/>
      </w:pPr>
      <w:r>
        <w:t>Para el año 2019 la</w:t>
      </w:r>
      <w:r w:rsidRPr="0093681A">
        <w:t xml:space="preserve"> Unidad Técnica Ejecutiva del Sector de Justicia a destinado aproximadamente el 0.75 % del presupuesto, para garantizar una vida sin violencia</w:t>
      </w:r>
      <w:r>
        <w:t>, para este año 2020 no contamos con el apoyo financiero de otras áreas de la UTE ya que por la emergencia nacional del COVID-19, el Ministerio de Hacienda ha congelado parte del presupuesto de la UTE.</w:t>
      </w:r>
      <w:r w:rsidRPr="0093681A">
        <w:t xml:space="preserve"> </w:t>
      </w:r>
    </w:p>
    <w:p w14:paraId="7F753251" w14:textId="57ECBA7B" w:rsidR="00A24A99" w:rsidRPr="00A24A99" w:rsidRDefault="00C152B2" w:rsidP="000B53A2">
      <w:pPr>
        <w:jc w:val="both"/>
        <w:rPr>
          <w:color w:val="FF0000"/>
        </w:rPr>
      </w:pPr>
      <w:r w:rsidRPr="00A24A99">
        <w:rPr>
          <w:color w:val="FF0000"/>
        </w:rPr>
        <w:t xml:space="preserve">Datos estadísticos </w:t>
      </w:r>
    </w:p>
    <w:p w14:paraId="3620A883" w14:textId="2D276BFE" w:rsidR="00C317EB" w:rsidRDefault="000C5EC8" w:rsidP="000B53A2">
      <w:pPr>
        <w:jc w:val="both"/>
      </w:pPr>
      <w:r>
        <w:t>n/a</w:t>
      </w:r>
    </w:p>
    <w:p w14:paraId="3C6D5DE9" w14:textId="77777777" w:rsidR="00C317EB" w:rsidRDefault="00C317EB" w:rsidP="00A24A99">
      <w:pPr>
        <w:pBdr>
          <w:top w:val="single" w:sz="4" w:space="1" w:color="auto"/>
        </w:pBdr>
        <w:jc w:val="both"/>
      </w:pPr>
    </w:p>
    <w:p w14:paraId="2E2FC740" w14:textId="77777777" w:rsidR="00C317EB" w:rsidRPr="00C317EB" w:rsidRDefault="00C152B2" w:rsidP="000B53A2">
      <w:pPr>
        <w:jc w:val="both"/>
        <w:rPr>
          <w:b/>
          <w:bCs/>
        </w:rPr>
      </w:pPr>
      <w:r w:rsidRPr="00C317EB">
        <w:rPr>
          <w:b/>
          <w:bCs/>
        </w:rPr>
        <w:t xml:space="preserve">2.16 c) Capacitación de recursos humanos en violencia en los tres poderes del Estado </w:t>
      </w:r>
    </w:p>
    <w:p w14:paraId="764D00F9" w14:textId="032B462C" w:rsidR="00C317EB" w:rsidRPr="00C317EB" w:rsidRDefault="00C152B2" w:rsidP="00392CD6">
      <w:pPr>
        <w:jc w:val="both"/>
        <w:rPr>
          <w:color w:val="FF0000"/>
        </w:rPr>
      </w:pPr>
      <w:r w:rsidRPr="00C317EB">
        <w:rPr>
          <w:color w:val="FF0000"/>
        </w:rPr>
        <w:t xml:space="preserve">Información de avance </w:t>
      </w:r>
    </w:p>
    <w:p w14:paraId="1DD2C8D5" w14:textId="5F1A414E" w:rsidR="00392CD6" w:rsidRDefault="00392CD6" w:rsidP="00392CD6">
      <w:pPr>
        <w:jc w:val="both"/>
      </w:pPr>
      <w:r>
        <w:t>S</w:t>
      </w:r>
      <w:r w:rsidRPr="00184105">
        <w:t xml:space="preserve">e llevó a cabo el foro “De las cifras de feminicidio, a acciones de política pública para prevenir y erradicar la violencia contra la mujer”, </w:t>
      </w:r>
      <w:r>
        <w:t xml:space="preserve">dirigido al personal de las instituciones del Sector de Justicia e instituciones afines tales como </w:t>
      </w:r>
      <w:r w:rsidRPr="00184105">
        <w:t>FGR, PGR, MJSP, CSJ, CNJ, PNC, DGCP, MINSAL, PDDH IML, ISDEMU</w:t>
      </w:r>
      <w:r>
        <w:t>, DIGESTYC</w:t>
      </w:r>
      <w:r w:rsidRPr="00184105">
        <w:t xml:space="preserve"> y UTE.</w:t>
      </w:r>
    </w:p>
    <w:p w14:paraId="0F35D9C5" w14:textId="2955B1DA" w:rsidR="00392CD6" w:rsidRPr="00184105" w:rsidRDefault="00392CD6" w:rsidP="00392CD6">
      <w:pPr>
        <w:jc w:val="both"/>
      </w:pPr>
      <w:r w:rsidRPr="004D6EEA">
        <w:t>Se desarrolló el foro "Buenas Prácticas de los Principios Rectores de la LIE" en el marco del Día Internacional de la Eliminación de la Violencia contra la Mujer</w:t>
      </w:r>
      <w:r>
        <w:t xml:space="preserve">; </w:t>
      </w:r>
      <w:r w:rsidRPr="004D6EEA">
        <w:t>dirigido al personal de las</w:t>
      </w:r>
      <w:r>
        <w:t xml:space="preserve"> </w:t>
      </w:r>
      <w:r w:rsidR="00C86ED5" w:rsidRPr="004D6EEA">
        <w:t>instituciones</w:t>
      </w:r>
      <w:r w:rsidRPr="004D6EEA">
        <w:t xml:space="preserve"> del Sector de Justicia e instituciones afines tales como FGR, PGR, MJSP, CSJ,</w:t>
      </w:r>
      <w:r>
        <w:t xml:space="preserve"> OJ,</w:t>
      </w:r>
      <w:r w:rsidRPr="004D6EEA">
        <w:t xml:space="preserve"> CNJ, PNC, DGCP, MINSAL, PDDH IML, ISDEMU, DIGESTYC y UTE.</w:t>
      </w:r>
    </w:p>
    <w:p w14:paraId="481DFDDF" w14:textId="77777777" w:rsidR="00D03939" w:rsidRDefault="00D03939" w:rsidP="000B53A2">
      <w:pPr>
        <w:jc w:val="both"/>
        <w:rPr>
          <w:color w:val="FF0000"/>
        </w:rPr>
      </w:pPr>
    </w:p>
    <w:p w14:paraId="02B91BEC" w14:textId="7ECFF13C" w:rsidR="00C152B2" w:rsidRDefault="00C152B2" w:rsidP="000B53A2">
      <w:pPr>
        <w:jc w:val="both"/>
        <w:rPr>
          <w:color w:val="FF0000"/>
        </w:rPr>
      </w:pPr>
      <w:r w:rsidRPr="00A24A99">
        <w:rPr>
          <w:color w:val="FF0000"/>
        </w:rPr>
        <w:t>Datos estadísticos</w:t>
      </w:r>
    </w:p>
    <w:p w14:paraId="0CB69DF6" w14:textId="13CB7930" w:rsidR="008F0B87" w:rsidRDefault="00FD6728" w:rsidP="000B53A2">
      <w:pPr>
        <w:jc w:val="both"/>
      </w:pPr>
      <w:r>
        <w:rPr>
          <w:noProof/>
          <w:lang w:eastAsia="es-SV"/>
        </w:rPr>
        <w:drawing>
          <wp:inline distT="0" distB="0" distL="0" distR="0" wp14:anchorId="0E29CDED" wp14:editId="53AFA14A">
            <wp:extent cx="4584700" cy="27559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B06408B" w14:textId="77777777" w:rsidR="008F0B87" w:rsidRDefault="008F0B87" w:rsidP="000B53A2">
      <w:pPr>
        <w:jc w:val="both"/>
      </w:pPr>
    </w:p>
    <w:p w14:paraId="5FB347EC" w14:textId="49A2FF29" w:rsidR="00203A90" w:rsidRDefault="00203A90" w:rsidP="000B53A2">
      <w:pPr>
        <w:jc w:val="both"/>
      </w:pPr>
      <w:r>
        <w:t xml:space="preserve">Fecha: </w:t>
      </w:r>
      <w:r w:rsidR="008F0B87">
        <w:t>6 de</w:t>
      </w:r>
      <w:r>
        <w:t xml:space="preserve"> agosto 20</w:t>
      </w:r>
      <w:r w:rsidR="008F0B87">
        <w:t>20</w:t>
      </w:r>
    </w:p>
    <w:p w14:paraId="73BB6DF4" w14:textId="77777777" w:rsidR="00203A90" w:rsidRDefault="00203A90" w:rsidP="000B53A2">
      <w:pPr>
        <w:jc w:val="both"/>
      </w:pPr>
      <w:r>
        <w:t xml:space="preserve">Nombre y Cargo de persona que brinda la información: </w:t>
      </w:r>
    </w:p>
    <w:p w14:paraId="1D63030A" w14:textId="60BB4BAE" w:rsidR="00203A90" w:rsidRDefault="000267DC" w:rsidP="000B53A2">
      <w:pPr>
        <w:jc w:val="both"/>
      </w:pPr>
      <w:r>
        <w:t>[..] J</w:t>
      </w:r>
      <w:r w:rsidR="00A24A99">
        <w:t>efa</w:t>
      </w:r>
      <w:r w:rsidR="00203A90">
        <w:t xml:space="preserve"> de la Unidad de Género Institucional.</w:t>
      </w:r>
    </w:p>
    <w:p w14:paraId="62207B82" w14:textId="019779C9" w:rsidR="008F0B87" w:rsidRDefault="008F0B87" w:rsidP="000B53A2">
      <w:pPr>
        <w:jc w:val="both"/>
      </w:pPr>
      <w:r>
        <w:t>Informe de junio 201</w:t>
      </w:r>
      <w:r w:rsidR="00A11F8B">
        <w:t>9</w:t>
      </w:r>
      <w:r>
        <w:t xml:space="preserve"> a Julio 2020</w:t>
      </w:r>
    </w:p>
    <w:p w14:paraId="0DBAD3E3" w14:textId="535F544D" w:rsidR="006458D5" w:rsidRDefault="006458D5" w:rsidP="000B53A2">
      <w:pPr>
        <w:jc w:val="both"/>
      </w:pPr>
    </w:p>
    <w:p w14:paraId="3A35DECC" w14:textId="06CE0BAB" w:rsidR="002F50BE" w:rsidRPr="00A86D2A" w:rsidRDefault="002F50BE" w:rsidP="002F50BE">
      <w:pPr>
        <w:jc w:val="both"/>
        <w:rPr>
          <w:lang w:val="es-MX"/>
        </w:rPr>
      </w:pPr>
      <w:r>
        <w:rPr>
          <w:rFonts w:ascii="Courier" w:hAnsi="Courier" w:cs="Courier"/>
          <w:sz w:val="14"/>
          <w:szCs w:val="14"/>
        </w:rPr>
        <w:t>NOTA: El presente documento ha sido modificado dada la existencia de</w:t>
      </w:r>
      <w:r>
        <w:rPr>
          <w:rFonts w:ascii="Courier" w:hAnsi="Courier" w:cs="Courier"/>
          <w:sz w:val="14"/>
          <w:szCs w:val="14"/>
        </w:rPr>
        <w:t xml:space="preserve"> datos personales y de </w:t>
      </w:r>
      <w:r>
        <w:rPr>
          <w:rFonts w:ascii="Courier" w:hAnsi="Courier" w:cs="Courier"/>
          <w:sz w:val="14"/>
          <w:szCs w:val="14"/>
        </w:rPr>
        <w:t>información clasificada como confidencial relativa al Programa de Protección a Víctimas y Testigos, elaborándose, por tanto, una versión pública del mismo, con base al artículo 30, relacionado con el artículo 24 literal c), 110 literal c, de la Ley de Acceso a la Información Pública y artículos 3 de la Ley Especial para la Protección de Víctimas y Testigos.</w:t>
      </w:r>
    </w:p>
    <w:p w14:paraId="5AFB56DC" w14:textId="77777777" w:rsidR="002F50BE" w:rsidRPr="002F50BE" w:rsidRDefault="002F50BE" w:rsidP="000B53A2">
      <w:pPr>
        <w:jc w:val="both"/>
        <w:rPr>
          <w:lang w:val="es-MX"/>
        </w:rPr>
      </w:pPr>
    </w:p>
    <w:sectPr w:rsidR="002F50BE" w:rsidRPr="002F50BE" w:rsidSect="00E81856">
      <w:headerReference w:type="default" r:id="rId22"/>
      <w:pgSz w:w="12240" w:h="15840"/>
      <w:pgMar w:top="1417" w:right="1701"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EF57C" w14:textId="77777777" w:rsidR="00CD6319" w:rsidRDefault="00CD6319" w:rsidP="00B85EC9">
      <w:pPr>
        <w:spacing w:after="0" w:line="240" w:lineRule="auto"/>
      </w:pPr>
      <w:r>
        <w:separator/>
      </w:r>
    </w:p>
  </w:endnote>
  <w:endnote w:type="continuationSeparator" w:id="0">
    <w:p w14:paraId="3C5BB400" w14:textId="77777777" w:rsidR="00CD6319" w:rsidRDefault="00CD6319" w:rsidP="00B8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D2B55" w14:textId="77777777" w:rsidR="00CD6319" w:rsidRDefault="00CD6319" w:rsidP="00B85EC9">
      <w:pPr>
        <w:spacing w:after="0" w:line="240" w:lineRule="auto"/>
      </w:pPr>
      <w:r>
        <w:separator/>
      </w:r>
    </w:p>
  </w:footnote>
  <w:footnote w:type="continuationSeparator" w:id="0">
    <w:p w14:paraId="0CDBF011" w14:textId="77777777" w:rsidR="00CD6319" w:rsidRDefault="00CD6319" w:rsidP="00B85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5908B" w14:textId="6F30A163" w:rsidR="006458D5" w:rsidRPr="006458D5" w:rsidRDefault="009632B0" w:rsidP="009632B0">
    <w:pPr>
      <w:pStyle w:val="Encabezado"/>
      <w:jc w:val="right"/>
      <w:rPr>
        <w:sz w:val="16"/>
        <w:szCs w:val="16"/>
      </w:rPr>
    </w:pPr>
    <w:r>
      <w:rPr>
        <w:noProof/>
        <w:lang w:eastAsia="es-SV"/>
      </w:rPr>
      <w:drawing>
        <wp:anchor distT="0" distB="0" distL="114300" distR="114300" simplePos="0" relativeHeight="251659264" behindDoc="0" locked="0" layoutInCell="1" allowOverlap="1" wp14:anchorId="10EFBD74" wp14:editId="460071D9">
          <wp:simplePos x="0" y="0"/>
          <wp:positionH relativeFrom="margin">
            <wp:align>left</wp:align>
          </wp:positionH>
          <wp:positionV relativeFrom="paragraph">
            <wp:posOffset>-247849</wp:posOffset>
          </wp:positionV>
          <wp:extent cx="1678305" cy="596900"/>
          <wp:effectExtent l="0" t="0" r="0" b="0"/>
          <wp:wrapThrough wrapText="bothSides">
            <wp:wrapPolygon edited="0">
              <wp:start x="0" y="0"/>
              <wp:lineTo x="0" y="20681"/>
              <wp:lineTo x="21330" y="20681"/>
              <wp:lineTo x="2133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obierno e ISDEMU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8305" cy="596900"/>
                  </a:xfrm>
                  <a:prstGeom prst="rect">
                    <a:avLst/>
                  </a:prstGeom>
                </pic:spPr>
              </pic:pic>
            </a:graphicData>
          </a:graphic>
          <wp14:sizeRelH relativeFrom="page">
            <wp14:pctWidth>0</wp14:pctWidth>
          </wp14:sizeRelH>
          <wp14:sizeRelV relativeFrom="page">
            <wp14:pctHeight>0</wp14:pctHeight>
          </wp14:sizeRelV>
        </wp:anchor>
      </w:drawing>
    </w:r>
    <w:r w:rsidR="006458D5" w:rsidRPr="006458D5">
      <w:rPr>
        <w:sz w:val="16"/>
        <w:szCs w:val="16"/>
      </w:rPr>
      <w:t xml:space="preserve">Recolección de información con instituciones de la Comisión Técnica Especializada Ingreso de Información del Sistema de Indicadores de Progreso para la Medición de la Implementación de la Convención de Belém do Pará 2019 Unidad Técnica Ejecutiva </w:t>
    </w:r>
  </w:p>
  <w:p w14:paraId="55C9362C" w14:textId="715BF0C5" w:rsidR="008E43F0" w:rsidRDefault="006458D5" w:rsidP="006458D5">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FF0346"/>
    <w:multiLevelType w:val="hybridMultilevel"/>
    <w:tmpl w:val="75967918"/>
    <w:lvl w:ilvl="0" w:tplc="440A0001">
      <w:start w:val="1"/>
      <w:numFmt w:val="bullet"/>
      <w:lvlText w:val=""/>
      <w:lvlJc w:val="left"/>
      <w:pPr>
        <w:ind w:left="1483" w:hanging="360"/>
      </w:pPr>
      <w:rPr>
        <w:rFonts w:ascii="Symbol" w:hAnsi="Symbol" w:hint="default"/>
      </w:rPr>
    </w:lvl>
    <w:lvl w:ilvl="1" w:tplc="440A0003" w:tentative="1">
      <w:start w:val="1"/>
      <w:numFmt w:val="bullet"/>
      <w:lvlText w:val="o"/>
      <w:lvlJc w:val="left"/>
      <w:pPr>
        <w:ind w:left="2203" w:hanging="360"/>
      </w:pPr>
      <w:rPr>
        <w:rFonts w:ascii="Courier New" w:hAnsi="Courier New" w:cs="Courier New" w:hint="default"/>
      </w:rPr>
    </w:lvl>
    <w:lvl w:ilvl="2" w:tplc="440A0005" w:tentative="1">
      <w:start w:val="1"/>
      <w:numFmt w:val="bullet"/>
      <w:lvlText w:val=""/>
      <w:lvlJc w:val="left"/>
      <w:pPr>
        <w:ind w:left="2923" w:hanging="360"/>
      </w:pPr>
      <w:rPr>
        <w:rFonts w:ascii="Wingdings" w:hAnsi="Wingdings" w:hint="default"/>
      </w:rPr>
    </w:lvl>
    <w:lvl w:ilvl="3" w:tplc="440A0001" w:tentative="1">
      <w:start w:val="1"/>
      <w:numFmt w:val="bullet"/>
      <w:lvlText w:val=""/>
      <w:lvlJc w:val="left"/>
      <w:pPr>
        <w:ind w:left="3643" w:hanging="360"/>
      </w:pPr>
      <w:rPr>
        <w:rFonts w:ascii="Symbol" w:hAnsi="Symbol" w:hint="default"/>
      </w:rPr>
    </w:lvl>
    <w:lvl w:ilvl="4" w:tplc="440A0003" w:tentative="1">
      <w:start w:val="1"/>
      <w:numFmt w:val="bullet"/>
      <w:lvlText w:val="o"/>
      <w:lvlJc w:val="left"/>
      <w:pPr>
        <w:ind w:left="4363" w:hanging="360"/>
      </w:pPr>
      <w:rPr>
        <w:rFonts w:ascii="Courier New" w:hAnsi="Courier New" w:cs="Courier New" w:hint="default"/>
      </w:rPr>
    </w:lvl>
    <w:lvl w:ilvl="5" w:tplc="440A0005" w:tentative="1">
      <w:start w:val="1"/>
      <w:numFmt w:val="bullet"/>
      <w:lvlText w:val=""/>
      <w:lvlJc w:val="left"/>
      <w:pPr>
        <w:ind w:left="5083" w:hanging="360"/>
      </w:pPr>
      <w:rPr>
        <w:rFonts w:ascii="Wingdings" w:hAnsi="Wingdings" w:hint="default"/>
      </w:rPr>
    </w:lvl>
    <w:lvl w:ilvl="6" w:tplc="440A0001" w:tentative="1">
      <w:start w:val="1"/>
      <w:numFmt w:val="bullet"/>
      <w:lvlText w:val=""/>
      <w:lvlJc w:val="left"/>
      <w:pPr>
        <w:ind w:left="5803" w:hanging="360"/>
      </w:pPr>
      <w:rPr>
        <w:rFonts w:ascii="Symbol" w:hAnsi="Symbol" w:hint="default"/>
      </w:rPr>
    </w:lvl>
    <w:lvl w:ilvl="7" w:tplc="440A0003" w:tentative="1">
      <w:start w:val="1"/>
      <w:numFmt w:val="bullet"/>
      <w:lvlText w:val="o"/>
      <w:lvlJc w:val="left"/>
      <w:pPr>
        <w:ind w:left="6523" w:hanging="360"/>
      </w:pPr>
      <w:rPr>
        <w:rFonts w:ascii="Courier New" w:hAnsi="Courier New" w:cs="Courier New" w:hint="default"/>
      </w:rPr>
    </w:lvl>
    <w:lvl w:ilvl="8" w:tplc="440A0005" w:tentative="1">
      <w:start w:val="1"/>
      <w:numFmt w:val="bullet"/>
      <w:lvlText w:val=""/>
      <w:lvlJc w:val="left"/>
      <w:pPr>
        <w:ind w:left="724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C9"/>
    <w:rsid w:val="000267DC"/>
    <w:rsid w:val="000A2885"/>
    <w:rsid w:val="000B53A2"/>
    <w:rsid w:val="000C5164"/>
    <w:rsid w:val="000C5EC8"/>
    <w:rsid w:val="001E4329"/>
    <w:rsid w:val="00203A90"/>
    <w:rsid w:val="0024560B"/>
    <w:rsid w:val="00265AD3"/>
    <w:rsid w:val="002F50BE"/>
    <w:rsid w:val="00377190"/>
    <w:rsid w:val="00377ECC"/>
    <w:rsid w:val="00392CD6"/>
    <w:rsid w:val="00394BB1"/>
    <w:rsid w:val="003A1E50"/>
    <w:rsid w:val="00452409"/>
    <w:rsid w:val="004F7C3D"/>
    <w:rsid w:val="00524E02"/>
    <w:rsid w:val="005F7005"/>
    <w:rsid w:val="006458D5"/>
    <w:rsid w:val="00701CB6"/>
    <w:rsid w:val="00733143"/>
    <w:rsid w:val="00782A69"/>
    <w:rsid w:val="00895C2B"/>
    <w:rsid w:val="008E43F0"/>
    <w:rsid w:val="008F0B87"/>
    <w:rsid w:val="00917A42"/>
    <w:rsid w:val="00952575"/>
    <w:rsid w:val="00960F53"/>
    <w:rsid w:val="009632B0"/>
    <w:rsid w:val="00970CF8"/>
    <w:rsid w:val="009F2BF3"/>
    <w:rsid w:val="00A11F8B"/>
    <w:rsid w:val="00A24A99"/>
    <w:rsid w:val="00A338C3"/>
    <w:rsid w:val="00AB053E"/>
    <w:rsid w:val="00AC62A1"/>
    <w:rsid w:val="00AF1966"/>
    <w:rsid w:val="00B202A5"/>
    <w:rsid w:val="00B37377"/>
    <w:rsid w:val="00B56CA1"/>
    <w:rsid w:val="00B85EC9"/>
    <w:rsid w:val="00BE6737"/>
    <w:rsid w:val="00BF52A5"/>
    <w:rsid w:val="00C150C9"/>
    <w:rsid w:val="00C152B2"/>
    <w:rsid w:val="00C317EB"/>
    <w:rsid w:val="00C86ED5"/>
    <w:rsid w:val="00CD6319"/>
    <w:rsid w:val="00D03939"/>
    <w:rsid w:val="00DC0612"/>
    <w:rsid w:val="00DF58F5"/>
    <w:rsid w:val="00E05BF2"/>
    <w:rsid w:val="00E1201A"/>
    <w:rsid w:val="00E462BE"/>
    <w:rsid w:val="00E81856"/>
    <w:rsid w:val="00EE41A7"/>
    <w:rsid w:val="00F31664"/>
    <w:rsid w:val="00FD672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F2653D"/>
  <w15:chartTrackingRefBased/>
  <w15:docId w15:val="{3378A36B-5B53-449B-A15B-C7EB2270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5E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EC9"/>
  </w:style>
  <w:style w:type="paragraph" w:styleId="Piedepgina">
    <w:name w:val="footer"/>
    <w:basedOn w:val="Normal"/>
    <w:link w:val="PiedepginaCar"/>
    <w:uiPriority w:val="99"/>
    <w:unhideWhenUsed/>
    <w:rsid w:val="00B85E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5EC9"/>
  </w:style>
  <w:style w:type="paragraph" w:styleId="Prrafodelista">
    <w:name w:val="List Paragraph"/>
    <w:basedOn w:val="Normal"/>
    <w:uiPriority w:val="34"/>
    <w:qFormat/>
    <w:rsid w:val="00B56CA1"/>
    <w:pPr>
      <w:ind w:left="720"/>
      <w:contextualSpacing/>
    </w:pPr>
  </w:style>
  <w:style w:type="character" w:styleId="Hipervnculo">
    <w:name w:val="Hyperlink"/>
    <w:basedOn w:val="Fuentedeprrafopredeter"/>
    <w:uiPriority w:val="99"/>
    <w:unhideWhenUsed/>
    <w:rsid w:val="00C317EB"/>
    <w:rPr>
      <w:color w:val="0563C1" w:themeColor="hyperlink"/>
      <w:u w:val="single"/>
    </w:rPr>
  </w:style>
  <w:style w:type="character" w:customStyle="1" w:styleId="UnresolvedMention">
    <w:name w:val="Unresolved Mention"/>
    <w:basedOn w:val="Fuentedeprrafopredeter"/>
    <w:uiPriority w:val="99"/>
    <w:semiHidden/>
    <w:unhideWhenUsed/>
    <w:rsid w:val="00C31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fparada\Desktop\UTE%20TRABAJO%20EN%20CASA\GENERO%202020\INFORMES%20ISDEMU\Copia%20de%20listas%20porcentaje%20de%20participant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parada\Desktop\UTE%20TRABAJO%20EN%20CASA\GENERO%202020\PARTICIPANTES%20EN%20EVENTOS%20DE%20SENCIBILIZACI&#211;N%202019%20%20%2020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parada\Desktop\UTE%20TRABAJO%20EN%20CASA\GENERO%202020\INFORMES%20ISDEMU\Copia%20de%20listas%20porcentaje%20de%20participante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parada\Desktop\UTE%20TRABAJO%20EN%20CASA\GENERO%202020\INFORMES%20ISDEMU\Copia%20de%20listas%20porcentaje%20de%20participan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parada\Desktop\UTE%20TRABAJO%20EN%20CASA\GENERO%202020\INFORMES%20ISDEMU\Copia%20de%20listas%20porcentaje%20de%20participan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parada\Desktop\UTE%20TRABAJO%20EN%20CASA\GENERO%202020\INFORMES%20ISDEMU\Copia%20de%20listas%20porcentaje%20de%20participant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parada\Desktop\UTE%20TRABAJO%20EN%20CASA\GENERO%202020\INFORMES%20ISDEMU\Copia%20de%20listas%20porcentaje%20de%20participant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parada\Desktop\UTE%20TRABAJO%20EN%20CASA\GENERO%202020\INFORMES%20ISDEMU\Copia%20de%20listas%20porcentaje%20de%20participant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fparada\Desktop\UTE%20TRABAJO%20EN%20CASA\GENERO%202020\INFORMES%20ISDEMU\Copia%20de%20listas%20porcentaje%20de%20participant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fparada\Desktop\UTE%20TRABAJO%20EN%20CASA\GENERO%202020\INFORMES%20ISDEMU\Copia%20de%20listas%20porcentaje%20de%20participante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fparada\Desktop\UTE%20TRABAJO%20EN%20CASA\GENERO%202020\INFORMES%20ISDEMU\Copia%20de%20listas%20porcentaje%20de%20participant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Hoja1!$F$6</c:f>
              <c:strCache>
                <c:ptCount val="1"/>
                <c:pt idx="0">
                  <c:v>3° Curso “Erradicar la reproducción de esquemas Culturales y Sociales Discriminatorios que promueven la Violencia contra las Mujeres”,</c:v>
                </c:pt>
              </c:strCache>
            </c:strRef>
          </c:tx>
          <c:spPr>
            <a:solidFill>
              <a:schemeClr val="accent1"/>
            </a:solidFill>
            <a:ln>
              <a:noFill/>
            </a:ln>
            <a:effectLst/>
            <a:sp3d/>
          </c:spPr>
          <c:invertIfNegative val="0"/>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418D-4AB1-ACA2-500FAEEBF59E}"/>
              </c:ext>
            </c:extLst>
          </c:dPt>
          <c:cat>
            <c:strRef>
              <c:f>Hoja1!$G$5:$H$5</c:f>
              <c:strCache>
                <c:ptCount val="2"/>
                <c:pt idx="0">
                  <c:v>MUJERES</c:v>
                </c:pt>
                <c:pt idx="1">
                  <c:v>HOMBRES </c:v>
                </c:pt>
              </c:strCache>
            </c:strRef>
          </c:cat>
          <c:val>
            <c:numRef>
              <c:f>Hoja1!$G$6:$H$6</c:f>
              <c:numCache>
                <c:formatCode>General</c:formatCode>
                <c:ptCount val="2"/>
                <c:pt idx="0">
                  <c:v>14</c:v>
                </c:pt>
                <c:pt idx="1">
                  <c:v>13</c:v>
                </c:pt>
              </c:numCache>
            </c:numRef>
          </c:val>
          <c:extLst xmlns:c16r2="http://schemas.microsoft.com/office/drawing/2015/06/chart">
            <c:ext xmlns:c16="http://schemas.microsoft.com/office/drawing/2014/chart" uri="{C3380CC4-5D6E-409C-BE32-E72D297353CC}">
              <c16:uniqueId val="{00000002-418D-4AB1-ACA2-500FAEEBF59E}"/>
            </c:ext>
          </c:extLst>
        </c:ser>
        <c:dLbls>
          <c:showLegendKey val="0"/>
          <c:showVal val="0"/>
          <c:showCatName val="0"/>
          <c:showSerName val="0"/>
          <c:showPercent val="0"/>
          <c:showBubbleSize val="0"/>
        </c:dLbls>
        <c:gapWidth val="150"/>
        <c:shape val="box"/>
        <c:axId val="548904528"/>
        <c:axId val="548904920"/>
        <c:axId val="0"/>
      </c:bar3DChart>
      <c:catAx>
        <c:axId val="548904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8904920"/>
        <c:crosses val="autoZero"/>
        <c:auto val="1"/>
        <c:lblAlgn val="ctr"/>
        <c:lblOffset val="100"/>
        <c:noMultiLvlLbl val="0"/>
      </c:catAx>
      <c:valAx>
        <c:axId val="548904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8904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Lineamientos interinstitucionales para procesos de autocuido en las instituciones</a:t>
            </a:r>
          </a:p>
          <a:p>
            <a:pPr>
              <a:defRPr/>
            </a:pPr>
            <a:r>
              <a:rPr lang="en-US"/>
              <a:t>FGR, PGR, MJSP, CSJ, CNJ, PNC, DGCP, MINSAL, PDDH IML, ISDEMU y UTE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Hoja1!$A$44</c:f>
              <c:strCache>
                <c:ptCount val="1"/>
                <c:pt idx="0">
                  <c:v>Lineamientos interinstitucionales para procesos de autocuido en las institucionesFGR, PGR, MJSP, CSJ, CNJ, PNC, DGCP, MINSAL, PDDH IML, ISDEMU y UTE</c:v>
                </c:pt>
              </c:strCache>
            </c:strRef>
          </c:tx>
          <c:spPr>
            <a:solidFill>
              <a:schemeClr val="accent1"/>
            </a:solidFill>
            <a:ln>
              <a:noFill/>
            </a:ln>
            <a:effectLst/>
          </c:spPr>
          <c:invertIfNegative val="0"/>
          <c:dPt>
            <c:idx val="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4706-4124-A7F1-6128CB392C8C}"/>
              </c:ext>
            </c:extLst>
          </c:dPt>
          <c:cat>
            <c:strRef>
              <c:f>Hoja1!$B$43:$C$43</c:f>
              <c:strCache>
                <c:ptCount val="2"/>
                <c:pt idx="0">
                  <c:v>MUJERES</c:v>
                </c:pt>
                <c:pt idx="1">
                  <c:v>HOMBRES</c:v>
                </c:pt>
              </c:strCache>
            </c:strRef>
          </c:cat>
          <c:val>
            <c:numRef>
              <c:f>Hoja1!$B$44:$C$44</c:f>
              <c:numCache>
                <c:formatCode>General</c:formatCode>
                <c:ptCount val="2"/>
                <c:pt idx="0">
                  <c:v>262</c:v>
                </c:pt>
                <c:pt idx="1">
                  <c:v>124</c:v>
                </c:pt>
              </c:numCache>
            </c:numRef>
          </c:val>
          <c:extLst xmlns:c16r2="http://schemas.microsoft.com/office/drawing/2015/06/chart">
            <c:ext xmlns:c16="http://schemas.microsoft.com/office/drawing/2014/chart" uri="{C3380CC4-5D6E-409C-BE32-E72D297353CC}">
              <c16:uniqueId val="{00000002-4706-4124-A7F1-6128CB392C8C}"/>
            </c:ext>
          </c:extLst>
        </c:ser>
        <c:dLbls>
          <c:showLegendKey val="0"/>
          <c:showVal val="0"/>
          <c:showCatName val="0"/>
          <c:showSerName val="0"/>
          <c:showPercent val="0"/>
          <c:showBubbleSize val="0"/>
        </c:dLbls>
        <c:gapWidth val="219"/>
        <c:overlap val="-27"/>
        <c:axId val="548365824"/>
        <c:axId val="548366216"/>
      </c:barChart>
      <c:catAx>
        <c:axId val="5483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8366216"/>
        <c:crosses val="autoZero"/>
        <c:auto val="1"/>
        <c:lblAlgn val="ctr"/>
        <c:lblOffset val="100"/>
        <c:noMultiLvlLbl val="0"/>
      </c:catAx>
      <c:valAx>
        <c:axId val="548366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836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Política</a:t>
            </a:r>
            <a:r>
              <a:rPr lang="es-SV" baseline="0"/>
              <a:t> Institucional de Igualdad y No Discriminación UTE</a:t>
            </a:r>
            <a:endParaRPr lang="es-SV"/>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Hoja1!$B$73</c:f>
              <c:strCache>
                <c:ptCount val="1"/>
                <c:pt idx="0">
                  <c:v>MUJERES</c:v>
                </c:pt>
              </c:strCache>
            </c:strRef>
          </c:tx>
          <c:spPr>
            <a:solidFill>
              <a:schemeClr val="accent1"/>
            </a:solidFill>
            <a:ln>
              <a:noFill/>
            </a:ln>
            <a:effectLst/>
          </c:spPr>
          <c:invertIfNegative val="0"/>
          <c:cat>
            <c:strRef>
              <c:f>Hoja1!$A$74:$A$78</c:f>
              <c:strCache>
                <c:ptCount val="4"/>
                <c:pt idx="0">
                  <c:v>GRUPOS FOCALES</c:v>
                </c:pt>
                <c:pt idx="1">
                  <c:v>TALLERES</c:v>
                </c:pt>
                <c:pt idx="2">
                  <c:v>CUESTIONARIO</c:v>
                </c:pt>
                <c:pt idx="3">
                  <c:v>ENTREVISTAS</c:v>
                </c:pt>
              </c:strCache>
            </c:strRef>
          </c:cat>
          <c:val>
            <c:numRef>
              <c:f>Hoja1!$B$74:$B$78</c:f>
              <c:numCache>
                <c:formatCode>General</c:formatCode>
                <c:ptCount val="5"/>
                <c:pt idx="0">
                  <c:v>16</c:v>
                </c:pt>
                <c:pt idx="1">
                  <c:v>37</c:v>
                </c:pt>
                <c:pt idx="2">
                  <c:v>37</c:v>
                </c:pt>
                <c:pt idx="3">
                  <c:v>2</c:v>
                </c:pt>
              </c:numCache>
            </c:numRef>
          </c:val>
          <c:extLst xmlns:c16r2="http://schemas.microsoft.com/office/drawing/2015/06/chart">
            <c:ext xmlns:c16="http://schemas.microsoft.com/office/drawing/2014/chart" uri="{C3380CC4-5D6E-409C-BE32-E72D297353CC}">
              <c16:uniqueId val="{00000000-23F0-4E70-8131-90C1E4BF06FD}"/>
            </c:ext>
          </c:extLst>
        </c:ser>
        <c:ser>
          <c:idx val="1"/>
          <c:order val="1"/>
          <c:tx>
            <c:strRef>
              <c:f>Hoja1!$C$73</c:f>
              <c:strCache>
                <c:ptCount val="1"/>
                <c:pt idx="0">
                  <c:v>HOMBRES</c:v>
                </c:pt>
              </c:strCache>
            </c:strRef>
          </c:tx>
          <c:spPr>
            <a:solidFill>
              <a:schemeClr val="accent3">
                <a:lumMod val="75000"/>
              </a:schemeClr>
            </a:solidFill>
            <a:ln>
              <a:noFill/>
            </a:ln>
            <a:effectLst/>
          </c:spPr>
          <c:invertIfNegative val="0"/>
          <c:cat>
            <c:strRef>
              <c:f>Hoja1!$A$74:$A$78</c:f>
              <c:strCache>
                <c:ptCount val="4"/>
                <c:pt idx="0">
                  <c:v>GRUPOS FOCALES</c:v>
                </c:pt>
                <c:pt idx="1">
                  <c:v>TALLERES</c:v>
                </c:pt>
                <c:pt idx="2">
                  <c:v>CUESTIONARIO</c:v>
                </c:pt>
                <c:pt idx="3">
                  <c:v>ENTREVISTAS</c:v>
                </c:pt>
              </c:strCache>
            </c:strRef>
          </c:cat>
          <c:val>
            <c:numRef>
              <c:f>Hoja1!$C$74:$C$78</c:f>
              <c:numCache>
                <c:formatCode>General</c:formatCode>
                <c:ptCount val="5"/>
                <c:pt idx="0">
                  <c:v>14</c:v>
                </c:pt>
                <c:pt idx="1">
                  <c:v>19</c:v>
                </c:pt>
                <c:pt idx="2">
                  <c:v>19</c:v>
                </c:pt>
                <c:pt idx="3">
                  <c:v>3</c:v>
                </c:pt>
              </c:numCache>
            </c:numRef>
          </c:val>
          <c:extLst xmlns:c16r2="http://schemas.microsoft.com/office/drawing/2015/06/chart">
            <c:ext xmlns:c16="http://schemas.microsoft.com/office/drawing/2014/chart" uri="{C3380CC4-5D6E-409C-BE32-E72D297353CC}">
              <c16:uniqueId val="{00000001-23F0-4E70-8131-90C1E4BF06FD}"/>
            </c:ext>
          </c:extLst>
        </c:ser>
        <c:dLbls>
          <c:showLegendKey val="0"/>
          <c:showVal val="0"/>
          <c:showCatName val="0"/>
          <c:showSerName val="0"/>
          <c:showPercent val="0"/>
          <c:showBubbleSize val="0"/>
        </c:dLbls>
        <c:gapWidth val="219"/>
        <c:overlap val="-27"/>
        <c:axId val="548367392"/>
        <c:axId val="619993968"/>
      </c:barChart>
      <c:catAx>
        <c:axId val="54836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19993968"/>
        <c:crosses val="autoZero"/>
        <c:auto val="1"/>
        <c:lblAlgn val="ctr"/>
        <c:lblOffset val="100"/>
        <c:noMultiLvlLbl val="0"/>
      </c:catAx>
      <c:valAx>
        <c:axId val="61999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8367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Hoja1!$F$9</c:f>
              <c:strCache>
                <c:ptCount val="1"/>
                <c:pt idx="0">
                  <c:v>Curso “Acoso Laboral y Acoso Sexual” dirigido a jefaturas UTE</c:v>
                </c:pt>
              </c:strCache>
            </c:strRef>
          </c:tx>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2342-4F6C-A42A-92587A5382CB}"/>
              </c:ext>
            </c:extLst>
          </c:dPt>
          <c:cat>
            <c:strRef>
              <c:f>Hoja1!$G$8:$H$8</c:f>
              <c:strCache>
                <c:ptCount val="2"/>
                <c:pt idx="0">
                  <c:v>MUJERES</c:v>
                </c:pt>
                <c:pt idx="1">
                  <c:v>HOMBRES</c:v>
                </c:pt>
              </c:strCache>
            </c:strRef>
          </c:cat>
          <c:val>
            <c:numRef>
              <c:f>Hoja1!$G$9:$H$9</c:f>
              <c:numCache>
                <c:formatCode>General</c:formatCode>
                <c:ptCount val="2"/>
                <c:pt idx="0">
                  <c:v>6</c:v>
                </c:pt>
                <c:pt idx="1">
                  <c:v>7</c:v>
                </c:pt>
              </c:numCache>
            </c:numRef>
          </c:val>
          <c:extLst xmlns:c16r2="http://schemas.microsoft.com/office/drawing/2015/06/chart">
            <c:ext xmlns:c16="http://schemas.microsoft.com/office/drawing/2014/chart" uri="{C3380CC4-5D6E-409C-BE32-E72D297353CC}">
              <c16:uniqueId val="{00000002-2342-4F6C-A42A-92587A5382CB}"/>
            </c:ext>
          </c:extLst>
        </c:ser>
        <c:dLbls>
          <c:showLegendKey val="0"/>
          <c:showVal val="0"/>
          <c:showCatName val="0"/>
          <c:showSerName val="0"/>
          <c:showPercent val="0"/>
          <c:showBubbleSize val="0"/>
        </c:dLbls>
        <c:gapWidth val="219"/>
        <c:overlap val="-27"/>
        <c:axId val="612323504"/>
        <c:axId val="617344576"/>
      </c:barChart>
      <c:catAx>
        <c:axId val="61232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17344576"/>
        <c:crosses val="autoZero"/>
        <c:auto val="1"/>
        <c:lblAlgn val="ctr"/>
        <c:lblOffset val="100"/>
        <c:noMultiLvlLbl val="0"/>
      </c:catAx>
      <c:valAx>
        <c:axId val="61734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1232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Hoja1!$A$22</c:f>
              <c:strCache>
                <c:ptCount val="1"/>
                <c:pt idx="0">
                  <c:v>Taller formativo sobre Derechos de las Mujeres</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265B-49AD-9506-025B3F86D77F}"/>
              </c:ext>
            </c:extLst>
          </c:dPt>
          <c:cat>
            <c:strRef>
              <c:f>Hoja1!$B$21:$C$21</c:f>
              <c:strCache>
                <c:ptCount val="2"/>
                <c:pt idx="0">
                  <c:v>MUJERES</c:v>
                </c:pt>
                <c:pt idx="1">
                  <c:v>HOMBRES </c:v>
                </c:pt>
              </c:strCache>
            </c:strRef>
          </c:cat>
          <c:val>
            <c:numRef>
              <c:f>Hoja1!$B$22:$C$22</c:f>
              <c:numCache>
                <c:formatCode>General</c:formatCode>
                <c:ptCount val="2"/>
                <c:pt idx="0">
                  <c:v>16</c:v>
                </c:pt>
                <c:pt idx="1">
                  <c:v>4</c:v>
                </c:pt>
              </c:numCache>
            </c:numRef>
          </c:val>
          <c:extLst xmlns:c16r2="http://schemas.microsoft.com/office/drawing/2015/06/chart">
            <c:ext xmlns:c16="http://schemas.microsoft.com/office/drawing/2014/chart" uri="{C3380CC4-5D6E-409C-BE32-E72D297353CC}">
              <c16:uniqueId val="{00000002-265B-49AD-9506-025B3F86D77F}"/>
            </c:ext>
          </c:extLst>
        </c:ser>
        <c:dLbls>
          <c:showLegendKey val="0"/>
          <c:showVal val="0"/>
          <c:showCatName val="0"/>
          <c:showSerName val="0"/>
          <c:showPercent val="0"/>
          <c:showBubbleSize val="0"/>
        </c:dLbls>
        <c:gapWidth val="219"/>
        <c:overlap val="-27"/>
        <c:axId val="617345752"/>
        <c:axId val="61734614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Hoja1!$A$23</c15:sqref>
                        </c15:formulaRef>
                      </c:ext>
                    </c:extLst>
                    <c:strCache>
                      <c:ptCount val="1"/>
                    </c:strCache>
                  </c:strRef>
                </c:tx>
                <c:spPr>
                  <a:solidFill>
                    <a:schemeClr val="accent2"/>
                  </a:solidFill>
                  <a:ln>
                    <a:noFill/>
                  </a:ln>
                  <a:effectLst/>
                </c:spPr>
                <c:invertIfNegative val="0"/>
                <c:cat>
                  <c:strRef>
                    <c:extLst xmlns:c16r2="http://schemas.microsoft.com/office/drawing/2015/06/chart">
                      <c:ext uri="{02D57815-91ED-43cb-92C2-25804820EDAC}">
                        <c15:formulaRef>
                          <c15:sqref>Hoja1!$B$21:$C$21</c15:sqref>
                        </c15:formulaRef>
                      </c:ext>
                    </c:extLst>
                    <c:strCache>
                      <c:ptCount val="2"/>
                      <c:pt idx="0">
                        <c:v>MUJERES</c:v>
                      </c:pt>
                      <c:pt idx="1">
                        <c:v>HOMBRES </c:v>
                      </c:pt>
                    </c:strCache>
                  </c:strRef>
                </c:cat>
                <c:val>
                  <c:numRef>
                    <c:extLst xmlns:c16r2="http://schemas.microsoft.com/office/drawing/2015/06/chart">
                      <c:ext uri="{02D57815-91ED-43cb-92C2-25804820EDAC}">
                        <c15:formulaRef>
                          <c15:sqref>Hoja1!$B$23:$C$23</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3-265B-49AD-9506-025B3F86D77F}"/>
                  </c:ext>
                </c:extLst>
              </c15:ser>
            </c15:filteredBarSeries>
          </c:ext>
        </c:extLst>
      </c:barChart>
      <c:catAx>
        <c:axId val="61734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17346144"/>
        <c:crosses val="autoZero"/>
        <c:auto val="1"/>
        <c:lblAlgn val="ctr"/>
        <c:lblOffset val="100"/>
        <c:noMultiLvlLbl val="0"/>
      </c:catAx>
      <c:valAx>
        <c:axId val="61734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17345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Hoja1!$A$27</c:f>
              <c:strCache>
                <c:ptCount val="1"/>
                <c:pt idx="0">
                  <c:v>Taller formativo de Vocería con enfoque de Género</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6FB5-4411-B027-2016EE1EBB45}"/>
              </c:ext>
            </c:extLst>
          </c:dPt>
          <c:cat>
            <c:strRef>
              <c:f>Hoja1!$B$26:$C$26</c:f>
              <c:strCache>
                <c:ptCount val="2"/>
                <c:pt idx="0">
                  <c:v>MUJERES</c:v>
                </c:pt>
                <c:pt idx="1">
                  <c:v>HOMBRES </c:v>
                </c:pt>
              </c:strCache>
            </c:strRef>
          </c:cat>
          <c:val>
            <c:numRef>
              <c:f>Hoja1!$B$27:$C$27</c:f>
              <c:numCache>
                <c:formatCode>General</c:formatCode>
                <c:ptCount val="2"/>
                <c:pt idx="0">
                  <c:v>12</c:v>
                </c:pt>
                <c:pt idx="1">
                  <c:v>4</c:v>
                </c:pt>
              </c:numCache>
            </c:numRef>
          </c:val>
          <c:extLst xmlns:c16r2="http://schemas.microsoft.com/office/drawing/2015/06/chart">
            <c:ext xmlns:c16="http://schemas.microsoft.com/office/drawing/2014/chart" uri="{C3380CC4-5D6E-409C-BE32-E72D297353CC}">
              <c16:uniqueId val="{00000002-6FB5-4411-B027-2016EE1EBB45}"/>
            </c:ext>
          </c:extLst>
        </c:ser>
        <c:dLbls>
          <c:showLegendKey val="0"/>
          <c:showVal val="0"/>
          <c:showCatName val="0"/>
          <c:showSerName val="0"/>
          <c:showPercent val="0"/>
          <c:showBubbleSize val="0"/>
        </c:dLbls>
        <c:gapWidth val="219"/>
        <c:overlap val="-27"/>
        <c:axId val="540005320"/>
        <c:axId val="540005712"/>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Hoja1!$A$28</c15:sqref>
                        </c15:formulaRef>
                      </c:ext>
                    </c:extLst>
                    <c:strCache>
                      <c:ptCount val="1"/>
                    </c:strCache>
                  </c:strRef>
                </c:tx>
                <c:spPr>
                  <a:solidFill>
                    <a:schemeClr val="accent2"/>
                  </a:solidFill>
                  <a:ln>
                    <a:noFill/>
                  </a:ln>
                  <a:effectLst/>
                </c:spPr>
                <c:invertIfNegative val="0"/>
                <c:cat>
                  <c:strRef>
                    <c:extLst xmlns:c16r2="http://schemas.microsoft.com/office/drawing/2015/06/chart">
                      <c:ext uri="{02D57815-91ED-43cb-92C2-25804820EDAC}">
                        <c15:formulaRef>
                          <c15:sqref>Hoja1!$B$26:$C$26</c15:sqref>
                        </c15:formulaRef>
                      </c:ext>
                    </c:extLst>
                    <c:strCache>
                      <c:ptCount val="2"/>
                      <c:pt idx="0">
                        <c:v>MUJERES</c:v>
                      </c:pt>
                      <c:pt idx="1">
                        <c:v>HOMBRES </c:v>
                      </c:pt>
                    </c:strCache>
                  </c:strRef>
                </c:cat>
                <c:val>
                  <c:numRef>
                    <c:extLst xmlns:c16r2="http://schemas.microsoft.com/office/drawing/2015/06/chart">
                      <c:ext uri="{02D57815-91ED-43cb-92C2-25804820EDAC}">
                        <c15:formulaRef>
                          <c15:sqref>Hoja1!$B$28:$C$28</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3-6FB5-4411-B027-2016EE1EBB45}"/>
                  </c:ext>
                </c:extLst>
              </c15:ser>
            </c15:filteredBarSeries>
          </c:ext>
        </c:extLst>
      </c:barChart>
      <c:catAx>
        <c:axId val="54000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0005712"/>
        <c:crosses val="autoZero"/>
        <c:auto val="1"/>
        <c:lblAlgn val="ctr"/>
        <c:lblOffset val="100"/>
        <c:noMultiLvlLbl val="0"/>
      </c:catAx>
      <c:valAx>
        <c:axId val="54000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0005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Hoja1!$A$32</c:f>
              <c:strCache>
                <c:ptCount val="1"/>
                <c:pt idx="0">
                  <c:v>"ABC de la Igualdad Sustantiva"</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9719-46A5-9F21-A81E9F07BCA2}"/>
              </c:ext>
            </c:extLst>
          </c:dPt>
          <c:cat>
            <c:strRef>
              <c:f>Hoja1!$B$31:$C$31</c:f>
              <c:strCache>
                <c:ptCount val="2"/>
                <c:pt idx="0">
                  <c:v>MUJERES</c:v>
                </c:pt>
                <c:pt idx="1">
                  <c:v>HOMBRES </c:v>
                </c:pt>
              </c:strCache>
            </c:strRef>
          </c:cat>
          <c:val>
            <c:numRef>
              <c:f>Hoja1!$B$32:$C$32</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2-9719-46A5-9F21-A81E9F07BCA2}"/>
            </c:ext>
          </c:extLst>
        </c:ser>
        <c:dLbls>
          <c:showLegendKey val="0"/>
          <c:showVal val="0"/>
          <c:showCatName val="0"/>
          <c:showSerName val="0"/>
          <c:showPercent val="0"/>
          <c:showBubbleSize val="0"/>
        </c:dLbls>
        <c:gapWidth val="219"/>
        <c:overlap val="-27"/>
        <c:axId val="621142560"/>
        <c:axId val="621142952"/>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Hoja1!$A$33</c15:sqref>
                        </c15:formulaRef>
                      </c:ext>
                    </c:extLst>
                    <c:strCache>
                      <c:ptCount val="1"/>
                    </c:strCache>
                  </c:strRef>
                </c:tx>
                <c:spPr>
                  <a:solidFill>
                    <a:schemeClr val="accent2"/>
                  </a:solidFill>
                  <a:ln>
                    <a:noFill/>
                  </a:ln>
                  <a:effectLst/>
                </c:spPr>
                <c:invertIfNegative val="0"/>
                <c:cat>
                  <c:strRef>
                    <c:extLst xmlns:c16r2="http://schemas.microsoft.com/office/drawing/2015/06/chart">
                      <c:ext uri="{02D57815-91ED-43cb-92C2-25804820EDAC}">
                        <c15:formulaRef>
                          <c15:sqref>Hoja1!$B$31:$C$31</c15:sqref>
                        </c15:formulaRef>
                      </c:ext>
                    </c:extLst>
                    <c:strCache>
                      <c:ptCount val="2"/>
                      <c:pt idx="0">
                        <c:v>MUJERES</c:v>
                      </c:pt>
                      <c:pt idx="1">
                        <c:v>HOMBRES </c:v>
                      </c:pt>
                    </c:strCache>
                  </c:strRef>
                </c:cat>
                <c:val>
                  <c:numRef>
                    <c:extLst xmlns:c16r2="http://schemas.microsoft.com/office/drawing/2015/06/chart">
                      <c:ext uri="{02D57815-91ED-43cb-92C2-25804820EDAC}">
                        <c15:formulaRef>
                          <c15:sqref>Hoja1!$B$33:$C$33</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3-9719-46A5-9F21-A81E9F07BCA2}"/>
                  </c:ext>
                </c:extLst>
              </c15:ser>
            </c15:filteredBarSeries>
          </c:ext>
        </c:extLst>
      </c:barChart>
      <c:catAx>
        <c:axId val="62114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21142952"/>
        <c:crosses val="autoZero"/>
        <c:auto val="1"/>
        <c:lblAlgn val="ctr"/>
        <c:lblOffset val="100"/>
        <c:noMultiLvlLbl val="0"/>
      </c:catAx>
      <c:valAx>
        <c:axId val="621142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2114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bar"/>
        <c:grouping val="clustered"/>
        <c:varyColors val="0"/>
        <c:ser>
          <c:idx val="0"/>
          <c:order val="0"/>
          <c:tx>
            <c:strRef>
              <c:f>Hoja1!$A$38</c:f>
              <c:strCache>
                <c:ptCount val="1"/>
                <c:pt idx="0">
                  <c:v>Entidades del Sector Público que asumen estos procesos</c:v>
                </c:pt>
              </c:strCache>
            </c:strRef>
          </c:tx>
          <c:spPr>
            <a:solidFill>
              <a:schemeClr val="accent4">
                <a:lumMod val="75000"/>
              </a:schemeClr>
            </a:solidFill>
            <a:ln>
              <a:noFill/>
            </a:ln>
            <a:effectLst/>
          </c:spPr>
          <c:invertIfNegative val="0"/>
          <c:dPt>
            <c:idx val="0"/>
            <c:invertIfNegative val="0"/>
            <c:bubble3D val="0"/>
            <c:spPr>
              <a:solidFill>
                <a:schemeClr val="tx2">
                  <a:lumMod val="75000"/>
                </a:schemeClr>
              </a:solidFill>
              <a:ln>
                <a:solidFill>
                  <a:srgbClr val="002060"/>
                </a:solidFill>
              </a:ln>
              <a:effectLst/>
            </c:spPr>
            <c:extLst xmlns:c16r2="http://schemas.microsoft.com/office/drawing/2015/06/chart">
              <c:ext xmlns:c16="http://schemas.microsoft.com/office/drawing/2014/chart" uri="{C3380CC4-5D6E-409C-BE32-E72D297353CC}">
                <c16:uniqueId val="{00000001-42C9-49BD-A178-896D12EC1A95}"/>
              </c:ext>
            </c:extLst>
          </c:dPt>
          <c:cat>
            <c:strRef>
              <c:f>Hoja1!$B$37:$C$37</c:f>
              <c:strCache>
                <c:ptCount val="2"/>
                <c:pt idx="0">
                  <c:v>UTE</c:v>
                </c:pt>
                <c:pt idx="1">
                  <c:v>ISDEMU</c:v>
                </c:pt>
              </c:strCache>
            </c:strRef>
          </c:cat>
          <c:val>
            <c:numRef>
              <c:f>Hoja1!$B$38:$C$38</c:f>
              <c:numCache>
                <c:formatCode>General</c:formatCode>
                <c:ptCount val="2"/>
                <c:pt idx="0">
                  <c:v>4</c:v>
                </c:pt>
                <c:pt idx="1">
                  <c:v>1</c:v>
                </c:pt>
              </c:numCache>
            </c:numRef>
          </c:val>
          <c:extLst xmlns:c16r2="http://schemas.microsoft.com/office/drawing/2015/06/chart">
            <c:ext xmlns:c16="http://schemas.microsoft.com/office/drawing/2014/chart" uri="{C3380CC4-5D6E-409C-BE32-E72D297353CC}">
              <c16:uniqueId val="{00000002-42C9-49BD-A178-896D12EC1A95}"/>
            </c:ext>
          </c:extLst>
        </c:ser>
        <c:dLbls>
          <c:showLegendKey val="0"/>
          <c:showVal val="0"/>
          <c:showCatName val="0"/>
          <c:showSerName val="0"/>
          <c:showPercent val="0"/>
          <c:showBubbleSize val="0"/>
        </c:dLbls>
        <c:gapWidth val="182"/>
        <c:axId val="548798384"/>
        <c:axId val="548798776"/>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Hoja1!$A$39</c15:sqref>
                        </c15:formulaRef>
                      </c:ext>
                    </c:extLst>
                    <c:strCache>
                      <c:ptCount val="1"/>
                    </c:strCache>
                  </c:strRef>
                </c:tx>
                <c:spPr>
                  <a:solidFill>
                    <a:schemeClr val="accent2"/>
                  </a:solidFill>
                  <a:ln>
                    <a:noFill/>
                  </a:ln>
                  <a:effectLst/>
                </c:spPr>
                <c:invertIfNegative val="0"/>
                <c:cat>
                  <c:strRef>
                    <c:extLst xmlns:c16r2="http://schemas.microsoft.com/office/drawing/2015/06/chart">
                      <c:ext uri="{02D57815-91ED-43cb-92C2-25804820EDAC}">
                        <c15:formulaRef>
                          <c15:sqref>Hoja1!$B$37:$C$37</c15:sqref>
                        </c15:formulaRef>
                      </c:ext>
                    </c:extLst>
                    <c:strCache>
                      <c:ptCount val="2"/>
                      <c:pt idx="0">
                        <c:v>UTE</c:v>
                      </c:pt>
                      <c:pt idx="1">
                        <c:v>ISDEMU</c:v>
                      </c:pt>
                    </c:strCache>
                  </c:strRef>
                </c:cat>
                <c:val>
                  <c:numRef>
                    <c:extLst xmlns:c16r2="http://schemas.microsoft.com/office/drawing/2015/06/chart">
                      <c:ext uri="{02D57815-91ED-43cb-92C2-25804820EDAC}">
                        <c15:formulaRef>
                          <c15:sqref>Hoja1!$B$39:$C$39</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3-42C9-49BD-A178-896D12EC1A95}"/>
                  </c:ext>
                </c:extLst>
              </c15:ser>
            </c15:filteredBarSeries>
          </c:ext>
        </c:extLst>
      </c:barChart>
      <c:catAx>
        <c:axId val="54879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8798776"/>
        <c:crosses val="autoZero"/>
        <c:auto val="1"/>
        <c:lblAlgn val="ctr"/>
        <c:lblOffset val="100"/>
        <c:noMultiLvlLbl val="0"/>
      </c:catAx>
      <c:valAx>
        <c:axId val="548798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54879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Hoja1!$A$43</c:f>
              <c:strCache>
                <c:ptCount val="1"/>
                <c:pt idx="0">
                  <c:v>Número de personas funcionarias que accedieron a los procesos formativos</c:v>
                </c:pt>
              </c:strCache>
            </c:strRef>
          </c:tx>
          <c:spPr>
            <a:solidFill>
              <a:schemeClr val="accent1"/>
            </a:solidFill>
            <a:ln>
              <a:noFill/>
            </a:ln>
            <a:effectLst/>
          </c:spPr>
          <c:invertIfNegative val="0"/>
          <c:dPt>
            <c:idx val="1"/>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37E4-4B5A-B2F4-CC4C13AD2402}"/>
              </c:ext>
            </c:extLst>
          </c:dPt>
          <c:cat>
            <c:strRef>
              <c:f>Hoja1!$B$42:$C$42</c:f>
              <c:strCache>
                <c:ptCount val="2"/>
                <c:pt idx="0">
                  <c:v>Mujeres</c:v>
                </c:pt>
                <c:pt idx="1">
                  <c:v>Hombres</c:v>
                </c:pt>
              </c:strCache>
            </c:strRef>
          </c:cat>
          <c:val>
            <c:numRef>
              <c:f>Hoja1!$B$43:$C$43</c:f>
              <c:numCache>
                <c:formatCode>General</c:formatCode>
                <c:ptCount val="2"/>
                <c:pt idx="0">
                  <c:v>50</c:v>
                </c:pt>
                <c:pt idx="1">
                  <c:v>29</c:v>
                </c:pt>
              </c:numCache>
            </c:numRef>
          </c:val>
          <c:extLst xmlns:c16r2="http://schemas.microsoft.com/office/drawing/2015/06/chart">
            <c:ext xmlns:c16="http://schemas.microsoft.com/office/drawing/2014/chart" uri="{C3380CC4-5D6E-409C-BE32-E72D297353CC}">
              <c16:uniqueId val="{00000002-37E4-4B5A-B2F4-CC4C13AD2402}"/>
            </c:ext>
          </c:extLst>
        </c:ser>
        <c:dLbls>
          <c:showLegendKey val="0"/>
          <c:showVal val="0"/>
          <c:showCatName val="0"/>
          <c:showSerName val="0"/>
          <c:showPercent val="0"/>
          <c:showBubbleSize val="0"/>
        </c:dLbls>
        <c:gapWidth val="219"/>
        <c:overlap val="-27"/>
        <c:axId val="330793352"/>
        <c:axId val="330793744"/>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Hoja1!$A$44</c15:sqref>
                        </c15:formulaRef>
                      </c:ext>
                    </c:extLst>
                    <c:strCache>
                      <c:ptCount val="1"/>
                    </c:strCache>
                  </c:strRef>
                </c:tx>
                <c:spPr>
                  <a:solidFill>
                    <a:schemeClr val="accent2"/>
                  </a:solidFill>
                  <a:ln>
                    <a:noFill/>
                  </a:ln>
                  <a:effectLst/>
                </c:spPr>
                <c:invertIfNegative val="0"/>
                <c:cat>
                  <c:strRef>
                    <c:extLst xmlns:c16r2="http://schemas.microsoft.com/office/drawing/2015/06/chart">
                      <c:ext uri="{02D57815-91ED-43cb-92C2-25804820EDAC}">
                        <c15:formulaRef>
                          <c15:sqref>Hoja1!$B$42:$C$42</c15:sqref>
                        </c15:formulaRef>
                      </c:ext>
                    </c:extLst>
                    <c:strCache>
                      <c:ptCount val="2"/>
                      <c:pt idx="0">
                        <c:v>Mujeres</c:v>
                      </c:pt>
                      <c:pt idx="1">
                        <c:v>Hombres</c:v>
                      </c:pt>
                    </c:strCache>
                  </c:strRef>
                </c:cat>
                <c:val>
                  <c:numRef>
                    <c:extLst xmlns:c16r2="http://schemas.microsoft.com/office/drawing/2015/06/chart">
                      <c:ext uri="{02D57815-91ED-43cb-92C2-25804820EDAC}">
                        <c15:formulaRef>
                          <c15:sqref>Hoja1!$B$44:$C$44</c15:sqref>
                        </c15:formulaRef>
                      </c:ext>
                    </c:extLst>
                    <c:numCache>
                      <c:formatCode>General</c:formatCode>
                      <c:ptCount val="2"/>
                    </c:numCache>
                  </c:numRef>
                </c:val>
                <c:extLst xmlns:c16r2="http://schemas.microsoft.com/office/drawing/2015/06/chart">
                  <c:ext xmlns:c16="http://schemas.microsoft.com/office/drawing/2014/chart" uri="{C3380CC4-5D6E-409C-BE32-E72D297353CC}">
                    <c16:uniqueId val="{00000003-37E4-4B5A-B2F4-CC4C13AD2402}"/>
                  </c:ext>
                </c:extLst>
              </c15:ser>
            </c15:filteredBarSeries>
          </c:ext>
        </c:extLst>
      </c:barChart>
      <c:catAx>
        <c:axId val="33079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30793744"/>
        <c:crosses val="autoZero"/>
        <c:auto val="1"/>
        <c:lblAlgn val="ctr"/>
        <c:lblOffset val="100"/>
        <c:noMultiLvlLbl val="0"/>
      </c:catAx>
      <c:valAx>
        <c:axId val="33079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30793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Talleres consultiovs</a:t>
            </a:r>
            <a:r>
              <a:rPr lang="es-SV" baseline="0"/>
              <a:t>, </a:t>
            </a:r>
            <a:r>
              <a:rPr lang="es-SV"/>
              <a:t>en las 4 zonas del país, para la elaboración del Protocolo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Hoja1!$B$48</c:f>
              <c:strCache>
                <c:ptCount val="1"/>
                <c:pt idx="0">
                  <c:v>MUJERES</c:v>
                </c:pt>
              </c:strCache>
            </c:strRef>
          </c:tx>
          <c:spPr>
            <a:solidFill>
              <a:schemeClr val="accent1"/>
            </a:solidFill>
            <a:ln>
              <a:noFill/>
            </a:ln>
            <a:effectLst/>
          </c:spPr>
          <c:invertIfNegative val="0"/>
          <c:cat>
            <c:strRef>
              <c:f>Hoja1!$A$49:$A$56</c:f>
              <c:strCache>
                <c:ptCount val="8"/>
                <c:pt idx="0">
                  <c:v>MJSP</c:v>
                </c:pt>
                <c:pt idx="1">
                  <c:v>FGR</c:v>
                </c:pt>
                <c:pt idx="2">
                  <c:v>PNC</c:v>
                </c:pt>
                <c:pt idx="3">
                  <c:v>PGR</c:v>
                </c:pt>
                <c:pt idx="4">
                  <c:v>ISDEMU</c:v>
                </c:pt>
                <c:pt idx="5">
                  <c:v>PDDH</c:v>
                </c:pt>
                <c:pt idx="6">
                  <c:v>CNJ</c:v>
                </c:pt>
                <c:pt idx="7">
                  <c:v>UTE</c:v>
                </c:pt>
              </c:strCache>
            </c:strRef>
          </c:cat>
          <c:val>
            <c:numRef>
              <c:f>Hoja1!$B$49:$B$56</c:f>
              <c:numCache>
                <c:formatCode>General</c:formatCode>
                <c:ptCount val="8"/>
                <c:pt idx="0">
                  <c:v>6</c:v>
                </c:pt>
                <c:pt idx="1">
                  <c:v>7</c:v>
                </c:pt>
                <c:pt idx="2">
                  <c:v>5</c:v>
                </c:pt>
                <c:pt idx="3">
                  <c:v>8</c:v>
                </c:pt>
                <c:pt idx="4">
                  <c:v>6</c:v>
                </c:pt>
                <c:pt idx="5">
                  <c:v>1</c:v>
                </c:pt>
                <c:pt idx="6">
                  <c:v>2</c:v>
                </c:pt>
                <c:pt idx="7">
                  <c:v>2</c:v>
                </c:pt>
              </c:numCache>
            </c:numRef>
          </c:val>
          <c:extLst xmlns:c16r2="http://schemas.microsoft.com/office/drawing/2015/06/chart">
            <c:ext xmlns:c16="http://schemas.microsoft.com/office/drawing/2014/chart" uri="{C3380CC4-5D6E-409C-BE32-E72D297353CC}">
              <c16:uniqueId val="{00000000-DADE-4092-8470-41716643A9A3}"/>
            </c:ext>
          </c:extLst>
        </c:ser>
        <c:ser>
          <c:idx val="1"/>
          <c:order val="1"/>
          <c:tx>
            <c:strRef>
              <c:f>Hoja1!$C$48</c:f>
              <c:strCache>
                <c:ptCount val="1"/>
                <c:pt idx="0">
                  <c:v>HOMBRES</c:v>
                </c:pt>
              </c:strCache>
            </c:strRef>
          </c:tx>
          <c:spPr>
            <a:solidFill>
              <a:schemeClr val="accent2"/>
            </a:solidFill>
            <a:ln>
              <a:noFill/>
            </a:ln>
            <a:effectLst/>
          </c:spPr>
          <c:invertIfNegative val="0"/>
          <c:cat>
            <c:strRef>
              <c:f>Hoja1!$A$49:$A$56</c:f>
              <c:strCache>
                <c:ptCount val="8"/>
                <c:pt idx="0">
                  <c:v>MJSP</c:v>
                </c:pt>
                <c:pt idx="1">
                  <c:v>FGR</c:v>
                </c:pt>
                <c:pt idx="2">
                  <c:v>PNC</c:v>
                </c:pt>
                <c:pt idx="3">
                  <c:v>PGR</c:v>
                </c:pt>
                <c:pt idx="4">
                  <c:v>ISDEMU</c:v>
                </c:pt>
                <c:pt idx="5">
                  <c:v>PDDH</c:v>
                </c:pt>
                <c:pt idx="6">
                  <c:v>CNJ</c:v>
                </c:pt>
                <c:pt idx="7">
                  <c:v>UTE</c:v>
                </c:pt>
              </c:strCache>
            </c:strRef>
          </c:cat>
          <c:val>
            <c:numRef>
              <c:f>Hoja1!$C$49:$C$56</c:f>
              <c:numCache>
                <c:formatCode>General</c:formatCode>
                <c:ptCount val="8"/>
                <c:pt idx="0">
                  <c:v>2</c:v>
                </c:pt>
                <c:pt idx="2">
                  <c:v>4</c:v>
                </c:pt>
                <c:pt idx="3">
                  <c:v>2</c:v>
                </c:pt>
              </c:numCache>
            </c:numRef>
          </c:val>
          <c:extLst xmlns:c16r2="http://schemas.microsoft.com/office/drawing/2015/06/chart">
            <c:ext xmlns:c16="http://schemas.microsoft.com/office/drawing/2014/chart" uri="{C3380CC4-5D6E-409C-BE32-E72D297353CC}">
              <c16:uniqueId val="{00000001-DADE-4092-8470-41716643A9A3}"/>
            </c:ext>
          </c:extLst>
        </c:ser>
        <c:dLbls>
          <c:showLegendKey val="0"/>
          <c:showVal val="0"/>
          <c:showCatName val="0"/>
          <c:showSerName val="0"/>
          <c:showPercent val="0"/>
          <c:showBubbleSize val="0"/>
        </c:dLbls>
        <c:gapWidth val="219"/>
        <c:overlap val="-27"/>
        <c:axId val="615085360"/>
        <c:axId val="615085752"/>
      </c:barChart>
      <c:catAx>
        <c:axId val="61508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15085752"/>
        <c:crosses val="autoZero"/>
        <c:auto val="1"/>
        <c:lblAlgn val="ctr"/>
        <c:lblOffset val="100"/>
        <c:noMultiLvlLbl val="0"/>
      </c:catAx>
      <c:valAx>
        <c:axId val="615085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15085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Taller</a:t>
            </a:r>
            <a:r>
              <a:rPr lang="es-SV" baseline="0"/>
              <a:t> de </a:t>
            </a:r>
            <a:r>
              <a:rPr lang="es-SV"/>
              <a:t>Validación</a:t>
            </a:r>
            <a:r>
              <a:rPr lang="es-SV" baseline="0"/>
              <a:t> del Protocolo </a:t>
            </a:r>
            <a:endParaRPr lang="es-SV"/>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Hoja1!$B$60</c:f>
              <c:strCache>
                <c:ptCount val="1"/>
                <c:pt idx="0">
                  <c:v>MUJERES</c:v>
                </c:pt>
              </c:strCache>
            </c:strRef>
          </c:tx>
          <c:spPr>
            <a:solidFill>
              <a:schemeClr val="accent1"/>
            </a:solidFill>
            <a:ln>
              <a:noFill/>
            </a:ln>
            <a:effectLst/>
          </c:spPr>
          <c:invertIfNegative val="0"/>
          <c:cat>
            <c:strRef>
              <c:f>Hoja1!$A$61:$A$68</c:f>
              <c:strCache>
                <c:ptCount val="8"/>
                <c:pt idx="0">
                  <c:v>PNC</c:v>
                </c:pt>
                <c:pt idx="1">
                  <c:v>PGR</c:v>
                </c:pt>
                <c:pt idx="2">
                  <c:v>ISDEMU</c:v>
                </c:pt>
                <c:pt idx="3">
                  <c:v>CSJ</c:v>
                </c:pt>
                <c:pt idx="4">
                  <c:v>IML</c:v>
                </c:pt>
                <c:pt idx="5">
                  <c:v>MINSAL</c:v>
                </c:pt>
                <c:pt idx="6">
                  <c:v>MJSP</c:v>
                </c:pt>
                <c:pt idx="7">
                  <c:v>UTE</c:v>
                </c:pt>
              </c:strCache>
            </c:strRef>
          </c:cat>
          <c:val>
            <c:numRef>
              <c:f>Hoja1!$B$61:$B$68</c:f>
              <c:numCache>
                <c:formatCode>General</c:formatCode>
                <c:ptCount val="8"/>
                <c:pt idx="0">
                  <c:v>1</c:v>
                </c:pt>
                <c:pt idx="1">
                  <c:v>1</c:v>
                </c:pt>
                <c:pt idx="2">
                  <c:v>1</c:v>
                </c:pt>
                <c:pt idx="3">
                  <c:v>1</c:v>
                </c:pt>
                <c:pt idx="4">
                  <c:v>2</c:v>
                </c:pt>
                <c:pt idx="5">
                  <c:v>1</c:v>
                </c:pt>
                <c:pt idx="6">
                  <c:v>1</c:v>
                </c:pt>
                <c:pt idx="7">
                  <c:v>2</c:v>
                </c:pt>
              </c:numCache>
            </c:numRef>
          </c:val>
          <c:extLst xmlns:c16r2="http://schemas.microsoft.com/office/drawing/2015/06/chart">
            <c:ext xmlns:c16="http://schemas.microsoft.com/office/drawing/2014/chart" uri="{C3380CC4-5D6E-409C-BE32-E72D297353CC}">
              <c16:uniqueId val="{00000000-F54C-48AF-BC9C-3E4A8A988C74}"/>
            </c:ext>
          </c:extLst>
        </c:ser>
        <c:ser>
          <c:idx val="1"/>
          <c:order val="1"/>
          <c:tx>
            <c:strRef>
              <c:f>Hoja1!$C$60</c:f>
              <c:strCache>
                <c:ptCount val="1"/>
                <c:pt idx="0">
                  <c:v>HOMBRES</c:v>
                </c:pt>
              </c:strCache>
            </c:strRef>
          </c:tx>
          <c:spPr>
            <a:solidFill>
              <a:schemeClr val="accent2"/>
            </a:solidFill>
            <a:ln>
              <a:noFill/>
            </a:ln>
            <a:effectLst/>
          </c:spPr>
          <c:invertIfNegative val="0"/>
          <c:cat>
            <c:strRef>
              <c:f>Hoja1!$A$61:$A$68</c:f>
              <c:strCache>
                <c:ptCount val="8"/>
                <c:pt idx="0">
                  <c:v>PNC</c:v>
                </c:pt>
                <c:pt idx="1">
                  <c:v>PGR</c:v>
                </c:pt>
                <c:pt idx="2">
                  <c:v>ISDEMU</c:v>
                </c:pt>
                <c:pt idx="3">
                  <c:v>CSJ</c:v>
                </c:pt>
                <c:pt idx="4">
                  <c:v>IML</c:v>
                </c:pt>
                <c:pt idx="5">
                  <c:v>MINSAL</c:v>
                </c:pt>
                <c:pt idx="6">
                  <c:v>MJSP</c:v>
                </c:pt>
                <c:pt idx="7">
                  <c:v>UTE</c:v>
                </c:pt>
              </c:strCache>
            </c:strRef>
          </c:cat>
          <c:val>
            <c:numRef>
              <c:f>Hoja1!$C$61:$C$68</c:f>
              <c:numCache>
                <c:formatCode>General</c:formatCode>
                <c:ptCount val="8"/>
                <c:pt idx="0">
                  <c:v>2</c:v>
                </c:pt>
              </c:numCache>
            </c:numRef>
          </c:val>
          <c:extLst xmlns:c16r2="http://schemas.microsoft.com/office/drawing/2015/06/chart">
            <c:ext xmlns:c16="http://schemas.microsoft.com/office/drawing/2014/chart" uri="{C3380CC4-5D6E-409C-BE32-E72D297353CC}">
              <c16:uniqueId val="{00000001-F54C-48AF-BC9C-3E4A8A988C74}"/>
            </c:ext>
          </c:extLst>
        </c:ser>
        <c:dLbls>
          <c:showLegendKey val="0"/>
          <c:showVal val="0"/>
          <c:showCatName val="0"/>
          <c:showSerName val="0"/>
          <c:showPercent val="0"/>
          <c:showBubbleSize val="0"/>
        </c:dLbls>
        <c:gapWidth val="219"/>
        <c:overlap val="-27"/>
        <c:axId val="334909408"/>
        <c:axId val="334909800"/>
      </c:barChart>
      <c:catAx>
        <c:axId val="33490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34909800"/>
        <c:crosses val="autoZero"/>
        <c:auto val="1"/>
        <c:lblAlgn val="ctr"/>
        <c:lblOffset val="100"/>
        <c:noMultiLvlLbl val="0"/>
      </c:catAx>
      <c:valAx>
        <c:axId val="334909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34909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61A1D-CC0A-4EBF-968C-06B1E08E5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2440</Words>
  <Characters>13426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de María Parada Gámez</dc:creator>
  <cp:keywords/>
  <dc:description/>
  <cp:lastModifiedBy>user</cp:lastModifiedBy>
  <cp:revision>2</cp:revision>
  <dcterms:created xsi:type="dcterms:W3CDTF">2020-08-08T02:56:00Z</dcterms:created>
  <dcterms:modified xsi:type="dcterms:W3CDTF">2020-08-08T02:56:00Z</dcterms:modified>
</cp:coreProperties>
</file>